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bookmarkStart w:id="0" w:name="_Hlk133590198"/>
      <w:bookmarkEnd w:id="0"/>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FC2DD52"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D97AF0">
        <w:rPr>
          <w:rFonts w:ascii="Azo Sans Md" w:hAnsi="Azo Sans Md" w:cstheme="minorHAnsi"/>
          <w:b/>
          <w:bCs/>
          <w:sz w:val="22"/>
          <w:szCs w:val="22"/>
        </w:rPr>
        <w:t>32.785/2022</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D97AF0">
        <w:rPr>
          <w:rFonts w:ascii="Azo Sans Md" w:hAnsi="Azo Sans Md" w:cstheme="minorHAnsi"/>
          <w:b/>
          <w:bCs/>
          <w:sz w:val="22"/>
          <w:szCs w:val="22"/>
        </w:rPr>
        <w:t>106</w:t>
      </w:r>
      <w:r w:rsidR="002351F6">
        <w:rPr>
          <w:rFonts w:ascii="Azo Sans Md" w:hAnsi="Azo Sans Md" w:cstheme="minorHAnsi"/>
          <w:b/>
          <w:bCs/>
          <w:sz w:val="22"/>
          <w:szCs w:val="22"/>
        </w:rPr>
        <w:t>/</w:t>
      </w:r>
      <w:r w:rsidR="00043FA7">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65738FF4"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1" w:name="_Hlk131165400"/>
      <w:r w:rsidR="00D25ABF" w:rsidRPr="00D25ABF">
        <w:rPr>
          <w:rFonts w:ascii="Azo Sans Lt" w:hAnsi="Azo Sans Lt" w:cstheme="minorHAnsi"/>
          <w:bCs w:val="0"/>
          <w:sz w:val="22"/>
          <w:szCs w:val="22"/>
          <w:lang w:val="pt-PT"/>
        </w:rPr>
        <w:t xml:space="preserve">Aquisição de </w:t>
      </w:r>
      <w:bookmarkStart w:id="2" w:name="_Hlk133587572"/>
      <w:bookmarkEnd w:id="1"/>
      <w:r w:rsidR="00D97AF0" w:rsidRPr="00D97AF0">
        <w:rPr>
          <w:rFonts w:ascii="Azo Sans Lt" w:hAnsi="Azo Sans Lt" w:cstheme="minorHAnsi"/>
          <w:bCs w:val="0"/>
          <w:sz w:val="22"/>
          <w:szCs w:val="22"/>
          <w:lang w:val="pt-PT"/>
        </w:rPr>
        <w:t>MÓVEIS E EQUIPAMENTOS para atender às necessidades da Procuradoria-Geral</w:t>
      </w:r>
      <w:bookmarkEnd w:id="2"/>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lastRenderedPageBreak/>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75978B83" w14:textId="77777777" w:rsidR="00140E94" w:rsidRPr="00140E94" w:rsidRDefault="00140E94" w:rsidP="00140E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40E94">
        <w:rPr>
          <w:rFonts w:ascii="Azo Sans Lt" w:hAnsi="Azo Sans Lt" w:cstheme="minorHAnsi"/>
          <w:bCs/>
          <w:iCs/>
          <w:lang w:val="pt-BR"/>
        </w:rPr>
        <w:t xml:space="preserve">A despesa decorrente da aquisição dos bens descritos no presente Termo de </w:t>
      </w:r>
      <w:r w:rsidRPr="00140E94">
        <w:rPr>
          <w:rFonts w:ascii="Azo Sans Lt" w:hAnsi="Azo Sans Lt" w:cstheme="minorHAnsi"/>
          <w:bCs/>
          <w:iCs/>
        </w:rPr>
        <w:t>Referência</w:t>
      </w:r>
      <w:r w:rsidRPr="00140E94">
        <w:rPr>
          <w:rFonts w:ascii="Azo Sans Lt" w:hAnsi="Azo Sans Lt" w:cstheme="minorHAnsi"/>
          <w:bCs/>
          <w:iCs/>
          <w:lang w:val="pt-BR"/>
        </w:rPr>
        <w:t xml:space="preserve"> ocorrerá por conta da natureza da despesa, fonte de recurso e programa de trabalho especificado a seguir:</w:t>
      </w:r>
    </w:p>
    <w:tbl>
      <w:tblPr>
        <w:tblStyle w:val="TableNormal1"/>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60"/>
        <w:gridCol w:w="2740"/>
        <w:gridCol w:w="2000"/>
        <w:gridCol w:w="1620"/>
      </w:tblGrid>
      <w:tr w:rsidR="00140E94" w:rsidRPr="00140E94" w14:paraId="6795AFDD" w14:textId="77777777" w:rsidTr="00140E94">
        <w:trPr>
          <w:trHeight w:val="629"/>
          <w:jc w:val="center"/>
        </w:trPr>
        <w:tc>
          <w:tcPr>
            <w:tcW w:w="2860" w:type="dxa"/>
          </w:tcPr>
          <w:p w14:paraId="0428BDF5" w14:textId="77777777" w:rsidR="00140E94" w:rsidRPr="00140E94" w:rsidRDefault="00140E94" w:rsidP="00140E94">
            <w:pPr>
              <w:spacing w:before="167"/>
              <w:ind w:left="87"/>
              <w:jc w:val="center"/>
              <w:rPr>
                <w:rFonts w:ascii="Times New Roman" w:eastAsia="Times New Roman" w:hAnsi="Times New Roman" w:cs="Times New Roman"/>
                <w:b/>
                <w:sz w:val="24"/>
              </w:rPr>
            </w:pPr>
            <w:r w:rsidRPr="00140E94">
              <w:rPr>
                <w:rFonts w:ascii="Times New Roman" w:eastAsia="Times New Roman" w:hAnsi="Times New Roman" w:cs="Times New Roman"/>
                <w:b/>
                <w:sz w:val="24"/>
              </w:rPr>
              <w:t>Secretaria</w:t>
            </w:r>
          </w:p>
        </w:tc>
        <w:tc>
          <w:tcPr>
            <w:tcW w:w="2740" w:type="dxa"/>
          </w:tcPr>
          <w:p w14:paraId="2A0C2311" w14:textId="77777777" w:rsidR="00140E94" w:rsidRPr="00140E94" w:rsidRDefault="00140E94" w:rsidP="00140E94">
            <w:pPr>
              <w:spacing w:before="167"/>
              <w:ind w:left="205" w:right="184"/>
              <w:jc w:val="center"/>
              <w:rPr>
                <w:rFonts w:ascii="Times New Roman" w:eastAsia="Times New Roman" w:hAnsi="Times New Roman" w:cs="Times New Roman"/>
                <w:b/>
                <w:sz w:val="24"/>
              </w:rPr>
            </w:pPr>
            <w:r w:rsidRPr="00140E94">
              <w:rPr>
                <w:rFonts w:ascii="Times New Roman" w:eastAsia="Times New Roman" w:hAnsi="Times New Roman" w:cs="Times New Roman"/>
                <w:b/>
                <w:sz w:val="24"/>
              </w:rPr>
              <w:t>Programa</w:t>
            </w:r>
            <w:r w:rsidRPr="00140E94">
              <w:rPr>
                <w:rFonts w:ascii="Times New Roman" w:eastAsia="Times New Roman" w:hAnsi="Times New Roman" w:cs="Times New Roman"/>
                <w:b/>
                <w:spacing w:val="-2"/>
                <w:sz w:val="24"/>
              </w:rPr>
              <w:t xml:space="preserve"> </w:t>
            </w:r>
            <w:r w:rsidRPr="00140E94">
              <w:rPr>
                <w:rFonts w:ascii="Times New Roman" w:eastAsia="Times New Roman" w:hAnsi="Times New Roman" w:cs="Times New Roman"/>
                <w:b/>
                <w:sz w:val="24"/>
              </w:rPr>
              <w:t>de</w:t>
            </w:r>
            <w:r w:rsidRPr="00140E94">
              <w:rPr>
                <w:rFonts w:ascii="Times New Roman" w:eastAsia="Times New Roman" w:hAnsi="Times New Roman" w:cs="Times New Roman"/>
                <w:b/>
                <w:spacing w:val="-1"/>
                <w:sz w:val="24"/>
              </w:rPr>
              <w:t xml:space="preserve"> </w:t>
            </w:r>
            <w:r w:rsidRPr="00140E94">
              <w:rPr>
                <w:rFonts w:ascii="Times New Roman" w:eastAsia="Times New Roman" w:hAnsi="Times New Roman" w:cs="Times New Roman"/>
                <w:b/>
                <w:sz w:val="24"/>
              </w:rPr>
              <w:t>trabalho</w:t>
            </w:r>
          </w:p>
        </w:tc>
        <w:tc>
          <w:tcPr>
            <w:tcW w:w="2000" w:type="dxa"/>
          </w:tcPr>
          <w:p w14:paraId="2EAA0C75" w14:textId="77777777" w:rsidR="00140E94" w:rsidRPr="00140E94" w:rsidRDefault="00140E94" w:rsidP="00140E94">
            <w:pPr>
              <w:spacing w:before="167"/>
              <w:ind w:left="82" w:right="61"/>
              <w:jc w:val="center"/>
              <w:rPr>
                <w:rFonts w:ascii="Times New Roman" w:eastAsia="Times New Roman" w:hAnsi="Times New Roman" w:cs="Times New Roman"/>
                <w:b/>
                <w:sz w:val="24"/>
              </w:rPr>
            </w:pPr>
            <w:r w:rsidRPr="00140E94">
              <w:rPr>
                <w:rFonts w:ascii="Times New Roman" w:eastAsia="Times New Roman" w:hAnsi="Times New Roman" w:cs="Times New Roman"/>
                <w:b/>
                <w:sz w:val="24"/>
              </w:rPr>
              <w:t>Fonte de Recurso</w:t>
            </w:r>
          </w:p>
        </w:tc>
        <w:tc>
          <w:tcPr>
            <w:tcW w:w="1620" w:type="dxa"/>
          </w:tcPr>
          <w:p w14:paraId="4CACB0B5" w14:textId="77777777" w:rsidR="00140E94" w:rsidRPr="00140E94" w:rsidRDefault="00140E94" w:rsidP="00140E94">
            <w:pPr>
              <w:spacing w:before="8"/>
              <w:ind w:left="294"/>
              <w:rPr>
                <w:rFonts w:ascii="Times New Roman" w:eastAsia="Times New Roman" w:hAnsi="Times New Roman" w:cs="Times New Roman"/>
                <w:b/>
                <w:sz w:val="24"/>
              </w:rPr>
            </w:pPr>
            <w:r w:rsidRPr="00140E94">
              <w:rPr>
                <w:rFonts w:ascii="Times New Roman" w:eastAsia="Times New Roman" w:hAnsi="Times New Roman" w:cs="Times New Roman"/>
                <w:b/>
                <w:sz w:val="24"/>
              </w:rPr>
              <w:t>Código de</w:t>
            </w:r>
          </w:p>
          <w:p w14:paraId="1803DF2E" w14:textId="77777777" w:rsidR="00140E94" w:rsidRPr="00140E94" w:rsidRDefault="00140E94" w:rsidP="00140E94">
            <w:pPr>
              <w:spacing w:before="42"/>
              <w:ind w:left="417"/>
              <w:rPr>
                <w:rFonts w:ascii="Times New Roman" w:eastAsia="Times New Roman" w:hAnsi="Times New Roman" w:cs="Times New Roman"/>
                <w:b/>
                <w:sz w:val="24"/>
              </w:rPr>
            </w:pPr>
            <w:r w:rsidRPr="00140E94">
              <w:rPr>
                <w:rFonts w:ascii="Times New Roman" w:eastAsia="Times New Roman" w:hAnsi="Times New Roman" w:cs="Times New Roman"/>
                <w:b/>
                <w:sz w:val="24"/>
              </w:rPr>
              <w:t>despesa</w:t>
            </w:r>
          </w:p>
        </w:tc>
      </w:tr>
      <w:tr w:rsidR="00140E94" w:rsidRPr="00140E94" w14:paraId="4C808E08" w14:textId="77777777" w:rsidTr="00140E94">
        <w:trPr>
          <w:trHeight w:val="636"/>
          <w:jc w:val="center"/>
        </w:trPr>
        <w:tc>
          <w:tcPr>
            <w:tcW w:w="2860" w:type="dxa"/>
          </w:tcPr>
          <w:p w14:paraId="3A97FF63" w14:textId="77777777" w:rsidR="00140E94" w:rsidRPr="00140E94" w:rsidRDefault="00140E94" w:rsidP="00140E94">
            <w:pPr>
              <w:spacing w:before="175"/>
              <w:ind w:left="27"/>
              <w:jc w:val="center"/>
              <w:rPr>
                <w:rFonts w:ascii="Times New Roman" w:eastAsia="Times New Roman" w:hAnsi="Times New Roman" w:cs="Times New Roman"/>
                <w:sz w:val="24"/>
              </w:rPr>
            </w:pPr>
            <w:r w:rsidRPr="00140E94">
              <w:rPr>
                <w:rFonts w:ascii="Times New Roman" w:eastAsia="Times New Roman" w:hAnsi="Times New Roman" w:cs="Times New Roman"/>
                <w:sz w:val="24"/>
              </w:rPr>
              <w:t>Fundo da Procuradoria Geral</w:t>
            </w:r>
          </w:p>
        </w:tc>
        <w:tc>
          <w:tcPr>
            <w:tcW w:w="2740" w:type="dxa"/>
          </w:tcPr>
          <w:p w14:paraId="0653629A" w14:textId="77777777" w:rsidR="00140E94" w:rsidRPr="00140E94" w:rsidRDefault="00140E94" w:rsidP="00140E94">
            <w:pPr>
              <w:spacing w:before="175"/>
              <w:ind w:left="205" w:right="184"/>
              <w:jc w:val="center"/>
              <w:rPr>
                <w:rFonts w:ascii="Times New Roman" w:eastAsia="Times New Roman" w:hAnsi="Times New Roman" w:cs="Times New Roman"/>
                <w:sz w:val="24"/>
              </w:rPr>
            </w:pPr>
            <w:r w:rsidRPr="00140E94">
              <w:rPr>
                <w:rFonts w:ascii="Times New Roman" w:eastAsia="Times New Roman" w:hAnsi="Times New Roman" w:cs="Times New Roman"/>
                <w:sz w:val="24"/>
              </w:rPr>
              <w:t>41001.0412200012.002</w:t>
            </w:r>
          </w:p>
        </w:tc>
        <w:tc>
          <w:tcPr>
            <w:tcW w:w="2000" w:type="dxa"/>
          </w:tcPr>
          <w:p w14:paraId="6D21AAC3" w14:textId="77777777" w:rsidR="00140E94" w:rsidRPr="00140E94" w:rsidRDefault="00140E94" w:rsidP="00140E94">
            <w:pPr>
              <w:spacing w:before="175"/>
              <w:ind w:left="82" w:right="61"/>
              <w:jc w:val="center"/>
              <w:rPr>
                <w:rFonts w:ascii="Times New Roman" w:eastAsia="Times New Roman" w:hAnsi="Times New Roman" w:cs="Times New Roman"/>
                <w:sz w:val="24"/>
              </w:rPr>
            </w:pPr>
            <w:r w:rsidRPr="00140E94">
              <w:rPr>
                <w:rFonts w:ascii="Times New Roman" w:eastAsia="Times New Roman" w:hAnsi="Times New Roman" w:cs="Times New Roman"/>
                <w:sz w:val="24"/>
              </w:rPr>
              <w:t>175900000013</w:t>
            </w:r>
          </w:p>
        </w:tc>
        <w:tc>
          <w:tcPr>
            <w:tcW w:w="1620" w:type="dxa"/>
          </w:tcPr>
          <w:p w14:paraId="1E4FE0CC" w14:textId="77777777" w:rsidR="00140E94" w:rsidRPr="00140E94" w:rsidRDefault="00140E94" w:rsidP="00140E94">
            <w:pPr>
              <w:ind w:left="157"/>
              <w:rPr>
                <w:rFonts w:ascii="Times New Roman" w:eastAsia="Times New Roman" w:hAnsi="Times New Roman" w:cs="Times New Roman"/>
                <w:sz w:val="24"/>
              </w:rPr>
            </w:pPr>
            <w:r w:rsidRPr="00140E94">
              <w:rPr>
                <w:rFonts w:ascii="Times New Roman" w:eastAsia="Times New Roman" w:hAnsi="Times New Roman" w:cs="Times New Roman"/>
                <w:sz w:val="24"/>
              </w:rPr>
              <w:t>44.90.52.12 e</w:t>
            </w:r>
          </w:p>
          <w:p w14:paraId="796FAE59" w14:textId="77777777" w:rsidR="00140E94" w:rsidRPr="00140E94" w:rsidRDefault="00140E94" w:rsidP="00140E94">
            <w:pPr>
              <w:spacing w:before="41"/>
              <w:ind w:left="241"/>
              <w:rPr>
                <w:rFonts w:ascii="Times New Roman" w:eastAsia="Times New Roman" w:hAnsi="Times New Roman" w:cs="Times New Roman"/>
                <w:sz w:val="24"/>
              </w:rPr>
            </w:pPr>
            <w:r w:rsidRPr="00140E94">
              <w:rPr>
                <w:rFonts w:ascii="Times New Roman" w:eastAsia="Times New Roman" w:hAnsi="Times New Roman" w:cs="Times New Roman"/>
                <w:sz w:val="24"/>
              </w:rPr>
              <w:t>44.90.52.13</w:t>
            </w:r>
          </w:p>
        </w:tc>
      </w:tr>
    </w:tbl>
    <w:p w14:paraId="4CB13229" w14:textId="77777777" w:rsidR="00193060" w:rsidRDefault="00193060" w:rsidP="00193060">
      <w:pPr>
        <w:pStyle w:val="PargrafodaLista"/>
        <w:widowControl/>
        <w:tabs>
          <w:tab w:val="left" w:pos="709"/>
        </w:tabs>
        <w:autoSpaceDE/>
        <w:autoSpaceDN/>
        <w:spacing w:before="113" w:after="120"/>
        <w:ind w:left="0" w:right="747"/>
        <w:contextualSpacing/>
        <w:jc w:val="both"/>
        <w:rPr>
          <w:rFonts w:ascii="Azo Sans Lt" w:hAnsi="Azo Sans Lt" w:cs="Arial"/>
          <w:b/>
          <w:w w:val="110"/>
          <w:lang w:val="pt-BR"/>
        </w:rPr>
      </w:pPr>
    </w:p>
    <w:p w14:paraId="2CD253DA" w14:textId="0E14302C" w:rsidR="00814BB1" w:rsidRPr="00140E94" w:rsidRDefault="00140E94" w:rsidP="00D25ABF">
      <w:pPr>
        <w:pStyle w:val="PargrafodaLista"/>
        <w:widowControl/>
        <w:numPr>
          <w:ilvl w:val="1"/>
          <w:numId w:val="27"/>
        </w:numPr>
        <w:tabs>
          <w:tab w:val="left" w:pos="426"/>
        </w:tabs>
        <w:autoSpaceDE/>
        <w:autoSpaceDN/>
        <w:spacing w:before="120" w:after="120" w:line="276" w:lineRule="auto"/>
        <w:ind w:left="0" w:right="2" w:firstLine="0"/>
        <w:contextualSpacing/>
        <w:jc w:val="both"/>
        <w:rPr>
          <w:rFonts w:ascii="Azo Sans Lt" w:hAnsi="Azo Sans Lt" w:cstheme="minorHAnsi"/>
          <w:bCs/>
          <w:iCs/>
          <w:lang w:val="pt-BR"/>
        </w:rPr>
      </w:pPr>
      <w:r w:rsidRPr="00140E94">
        <w:rPr>
          <w:rFonts w:ascii="Azo Sans Lt" w:hAnsi="Azo Sans Lt" w:cstheme="minorHAnsi"/>
          <w:bCs/>
          <w:iCs/>
        </w:rPr>
        <w:t>As notas fiscais deverão ser emitidas em nome de:</w:t>
      </w:r>
    </w:p>
    <w:p w14:paraId="2343BBD5" w14:textId="77777777" w:rsidR="00140E94" w:rsidRDefault="00140E94" w:rsidP="00140E94">
      <w:pPr>
        <w:pStyle w:val="Ttulo1"/>
        <w:spacing w:line="276" w:lineRule="auto"/>
        <w:ind w:left="634" w:right="1000"/>
        <w:jc w:val="center"/>
      </w:pPr>
      <w:r>
        <w:t>FUNDO</w:t>
      </w:r>
      <w:r>
        <w:rPr>
          <w:spacing w:val="-7"/>
        </w:rPr>
        <w:t xml:space="preserve"> </w:t>
      </w:r>
      <w:r>
        <w:t>ESPECIAL</w:t>
      </w:r>
      <w:r>
        <w:rPr>
          <w:spacing w:val="-6"/>
        </w:rPr>
        <w:t xml:space="preserve"> </w:t>
      </w:r>
      <w:r>
        <w:t>DA</w:t>
      </w:r>
      <w:r>
        <w:rPr>
          <w:spacing w:val="-7"/>
        </w:rPr>
        <w:t xml:space="preserve"> </w:t>
      </w:r>
      <w:r>
        <w:t>PROCURADORIA-GERAL</w:t>
      </w:r>
      <w:r w:rsidRPr="00140E94">
        <w:t xml:space="preserve"> </w:t>
      </w:r>
      <w:r>
        <w:t>DO</w:t>
      </w:r>
      <w:r w:rsidRPr="00140E94">
        <w:t xml:space="preserve"> </w:t>
      </w:r>
      <w:r>
        <w:t>MUNICÍPIO</w:t>
      </w:r>
      <w:r w:rsidRPr="00140E94">
        <w:t xml:space="preserve"> </w:t>
      </w:r>
      <w:r>
        <w:t>DE</w:t>
      </w:r>
      <w:r w:rsidRPr="00140E94">
        <w:t xml:space="preserve"> </w:t>
      </w:r>
      <w:r>
        <w:t>NOVA</w:t>
      </w:r>
      <w:r w:rsidRPr="00140E94">
        <w:t xml:space="preserve"> </w:t>
      </w:r>
      <w:r>
        <w:t>FRIBURGO</w:t>
      </w:r>
    </w:p>
    <w:p w14:paraId="7889B244" w14:textId="77777777" w:rsidR="00140E94" w:rsidRPr="00140E94" w:rsidRDefault="00140E94" w:rsidP="00140E94">
      <w:pPr>
        <w:ind w:left="634" w:right="999"/>
        <w:jc w:val="center"/>
        <w:rPr>
          <w:rFonts w:ascii="Arial" w:eastAsia="Arial" w:hAnsi="Arial" w:cs="Arial"/>
          <w:sz w:val="20"/>
          <w:szCs w:val="20"/>
        </w:rPr>
      </w:pPr>
      <w:r w:rsidRPr="00140E94">
        <w:rPr>
          <w:rFonts w:ascii="Arial" w:eastAsia="Arial" w:hAnsi="Arial" w:cs="Arial"/>
          <w:sz w:val="20"/>
          <w:szCs w:val="20"/>
        </w:rPr>
        <w:t>CNPJ: 20.132.609/0001-21</w:t>
      </w:r>
    </w:p>
    <w:p w14:paraId="5588DD61" w14:textId="77777777" w:rsidR="00140E94" w:rsidRDefault="00140E94" w:rsidP="00140E94">
      <w:pPr>
        <w:pStyle w:val="Ttulo1"/>
        <w:spacing w:before="42" w:line="276" w:lineRule="auto"/>
        <w:ind w:left="1591" w:right="1956"/>
        <w:jc w:val="center"/>
        <w:rPr>
          <w:b/>
        </w:rPr>
      </w:pPr>
      <w:r>
        <w:t>ENDEREÇO:</w:t>
      </w:r>
      <w:r w:rsidRPr="00140E94">
        <w:t xml:space="preserve"> </w:t>
      </w:r>
      <w:r>
        <w:t>AVENIDA</w:t>
      </w:r>
      <w:r w:rsidRPr="00140E94">
        <w:t xml:space="preserve"> </w:t>
      </w:r>
      <w:r>
        <w:t>ALBERTO</w:t>
      </w:r>
      <w:r>
        <w:rPr>
          <w:spacing w:val="-12"/>
        </w:rPr>
        <w:t xml:space="preserve"> </w:t>
      </w:r>
      <w:r>
        <w:t>BRAUNE,</w:t>
      </w:r>
      <w:r>
        <w:rPr>
          <w:spacing w:val="-11"/>
        </w:rPr>
        <w:t xml:space="preserve"> </w:t>
      </w:r>
      <w:r>
        <w:t>225,</w:t>
      </w:r>
      <w:r>
        <w:rPr>
          <w:spacing w:val="-12"/>
        </w:rPr>
        <w:t xml:space="preserve"> </w:t>
      </w:r>
      <w:r>
        <w:t>CENTRO,</w:t>
      </w:r>
      <w:r>
        <w:rPr>
          <w:spacing w:val="-57"/>
        </w:rPr>
        <w:t xml:space="preserve"> </w:t>
      </w:r>
      <w:r>
        <w:t>NOVA</w:t>
      </w:r>
      <w:r>
        <w:rPr>
          <w:spacing w:val="-1"/>
        </w:rPr>
        <w:t xml:space="preserve"> </w:t>
      </w:r>
      <w:r>
        <w:t>FRIBURGO</w:t>
      </w:r>
      <w:r>
        <w:rPr>
          <w:spacing w:val="-1"/>
        </w:rPr>
        <w:t xml:space="preserve"> </w:t>
      </w:r>
      <w:r>
        <w:t>-</w:t>
      </w:r>
      <w:r>
        <w:rPr>
          <w:spacing w:val="-1"/>
        </w:rPr>
        <w:t xml:space="preserve"> </w:t>
      </w:r>
      <w:r>
        <w:t>RJ, CEP:</w:t>
      </w:r>
      <w:r>
        <w:rPr>
          <w:spacing w:val="-1"/>
        </w:rPr>
        <w:t xml:space="preserve"> </w:t>
      </w:r>
      <w:r>
        <w:t>28613-001.</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6F18855D" w:rsidR="00064A3F" w:rsidRPr="00814BB1" w:rsidRDefault="00957B3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57B33">
        <w:rPr>
          <w:rFonts w:ascii="Azo Sans Lt" w:hAnsi="Azo Sans Lt" w:cstheme="minorHAnsi"/>
          <w:bCs/>
          <w:iCs/>
          <w:lang w:val="pt-BR"/>
        </w:rPr>
        <w:t>O pagamento será efetuado conforme estabelece o Decreto 258 de 27 de setembro de 2018 e suas modificações definidas no decreto 313 de 10 de outubro de 2019, desde que as certidões listadas abaixo estejam dentro da validade:</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2C04821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w:t>
      </w:r>
      <w:r w:rsidR="002351F6">
        <w:rPr>
          <w:rFonts w:ascii="Azo Sans Lt" w:hAnsi="Azo Sans Lt" w:cstheme="minorHAnsi"/>
        </w:rPr>
        <w:t>a</w:t>
      </w:r>
      <w:r w:rsidRPr="00064A3F">
        <w:rPr>
          <w:rFonts w:ascii="Azo Sans Lt" w:hAnsi="Azo Sans Lt" w:cstheme="minorHAnsi"/>
        </w:rPr>
        <w:t>;</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lastRenderedPageBreak/>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2C20BC3B" w:rsidR="00436587" w:rsidRPr="00814BB1" w:rsidRDefault="00EA2278"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2278">
        <w:rPr>
          <w:rFonts w:ascii="Azo Sans Lt" w:hAnsi="Azo Sans Lt" w:cstheme="minorHAnsi"/>
          <w:bCs/>
          <w:iCs/>
          <w:lang w:val="pt-BR"/>
        </w:rPr>
        <w:t>A Nota Fiscal de Serviço deverá conter a identificação do Banco, número da Agência e da Conta-Corrente, para que a Contratante possa efetuar o pagamento do valor devido</w:t>
      </w:r>
      <w:r w:rsidR="002351F6">
        <w:rPr>
          <w:rFonts w:ascii="Azo Sans Lt" w:hAnsi="Azo Sans Lt" w:cstheme="minorHAnsi"/>
          <w:bCs/>
          <w:iCs/>
          <w:lang w:val="pt-BR"/>
        </w:rPr>
        <w:t>.</w:t>
      </w:r>
      <w:r w:rsidR="00436587" w:rsidRPr="00814BB1">
        <w:rPr>
          <w:rFonts w:ascii="Azo Sans Lt" w:hAnsi="Azo Sans Lt" w:cstheme="minorHAnsi"/>
          <w:bCs/>
          <w:iCs/>
        </w:rPr>
        <w:t xml:space="preserve"> </w:t>
      </w:r>
    </w:p>
    <w:p w14:paraId="36DCCBD8" w14:textId="75B33F91" w:rsidR="005466C3" w:rsidRDefault="00EA2278"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2278">
        <w:rPr>
          <w:rFonts w:ascii="Azo Sans Lt" w:hAnsi="Azo Sans Lt" w:cstheme="minorHAnsi"/>
          <w:bCs/>
          <w:iCs/>
          <w:lang w:val="pt-BR"/>
        </w:rPr>
        <w:t>Na  ocorrência de rejeição da Nota Fiscal,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3E6C404E"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30CA0">
        <w:rPr>
          <w:rFonts w:ascii="Azo Sans Lt" w:hAnsi="Azo Sans Lt" w:cstheme="minorHAnsi"/>
          <w:sz w:val="22"/>
          <w:szCs w:val="22"/>
        </w:rPr>
        <w:t>–</w:t>
      </w:r>
      <w:r w:rsidR="001D32DF" w:rsidRPr="00385663">
        <w:rPr>
          <w:rFonts w:ascii="Azo Sans Lt" w:hAnsi="Azo Sans Lt" w:cstheme="minorHAnsi"/>
          <w:sz w:val="22"/>
          <w:szCs w:val="22"/>
        </w:rPr>
        <w:t xml:space="preserve"> </w:t>
      </w:r>
      <w:r w:rsidR="00140E94">
        <w:rPr>
          <w:rFonts w:ascii="Azo Sans Lt" w:hAnsi="Azo Sans Lt" w:cstheme="minorHAnsi"/>
          <w:sz w:val="22"/>
          <w:szCs w:val="22"/>
        </w:rPr>
        <w:t xml:space="preserve">FORNECIMENTO </w:t>
      </w:r>
      <w:r w:rsidR="00140E94" w:rsidRPr="00385663">
        <w:rPr>
          <w:rFonts w:ascii="Azo Sans Lt" w:hAnsi="Azo Sans Lt" w:cstheme="minorHAnsi"/>
          <w:sz w:val="22"/>
          <w:szCs w:val="22"/>
        </w:rPr>
        <w:t>DO</w:t>
      </w:r>
      <w:r w:rsidR="001D32DF" w:rsidRPr="00385663">
        <w:rPr>
          <w:rFonts w:ascii="Azo Sans Lt" w:hAnsi="Azo Sans Lt" w:cstheme="minorHAnsi"/>
          <w:sz w:val="22"/>
          <w:szCs w:val="22"/>
        </w:rPr>
        <w:t xml:space="preserve"> OBJETO</w:t>
      </w:r>
    </w:p>
    <w:p w14:paraId="78F48E0B" w14:textId="77777777" w:rsidR="00140E94" w:rsidRPr="00140E94" w:rsidRDefault="00B30CA0" w:rsidP="00140E94">
      <w:pPr>
        <w:numPr>
          <w:ilvl w:val="1"/>
          <w:numId w:val="27"/>
        </w:numPr>
        <w:spacing w:before="120" w:after="120" w:line="276" w:lineRule="auto"/>
        <w:rPr>
          <w:rFonts w:ascii="Azo Sans Lt" w:hAnsi="Azo Sans Lt" w:cstheme="minorHAnsi"/>
          <w:b/>
          <w:bCs/>
        </w:rPr>
      </w:pPr>
      <w:r w:rsidRPr="00B30CA0">
        <w:rPr>
          <w:rFonts w:ascii="Azo Sans Lt" w:hAnsi="Azo Sans Lt" w:cstheme="minorHAnsi"/>
          <w:bCs/>
          <w:iCs/>
          <w:lang w:val="pt-BR"/>
        </w:rPr>
        <w:t xml:space="preserve"> </w:t>
      </w:r>
      <w:r w:rsidR="00140E94" w:rsidRPr="00140E94">
        <w:rPr>
          <w:rFonts w:ascii="Azo Sans Lt" w:hAnsi="Azo Sans Lt" w:cstheme="minorHAnsi"/>
          <w:b/>
          <w:bCs/>
        </w:rPr>
        <w:t>DA ENTREGA E CRITÉRIOS DE ACEITAÇÃO</w:t>
      </w:r>
    </w:p>
    <w:p w14:paraId="7EC6E437" w14:textId="77777777" w:rsidR="004B58E5" w:rsidRPr="004B58E5" w:rsidRDefault="004B58E5" w:rsidP="004B58E5">
      <w:pPr>
        <w:widowControl/>
        <w:numPr>
          <w:ilvl w:val="2"/>
          <w:numId w:val="27"/>
        </w:numPr>
        <w:autoSpaceDE/>
        <w:autoSpaceDN/>
        <w:spacing w:before="120" w:after="120" w:line="276" w:lineRule="auto"/>
        <w:ind w:left="0" w:firstLine="0"/>
        <w:jc w:val="both"/>
        <w:rPr>
          <w:rFonts w:ascii="Azo Sans Lt" w:hAnsi="Azo Sans Lt" w:cstheme="minorHAnsi"/>
          <w:lang w:val="pt-BR"/>
        </w:rPr>
      </w:pPr>
      <w:bookmarkStart w:id="3" w:name="_Hlk128494369"/>
      <w:r w:rsidRPr="004B58E5">
        <w:rPr>
          <w:rFonts w:ascii="Azo Sans Lt" w:hAnsi="Azo Sans Lt" w:cstheme="minorHAnsi"/>
          <w:lang w:val="pt-BR"/>
        </w:rPr>
        <w:t>O fornecimento será efetuado de forma imediata, com prazo de, no máximo, 30 (trinta) dias após a data de envio da Nota de Empenho, no endereço abaixo:</w:t>
      </w:r>
    </w:p>
    <w:p w14:paraId="7C73D1B6" w14:textId="281A5411" w:rsidR="00215B49" w:rsidRPr="00215B49" w:rsidRDefault="00215B49" w:rsidP="00215B49">
      <w:pPr>
        <w:widowControl/>
        <w:autoSpaceDE/>
        <w:autoSpaceDN/>
        <w:spacing w:before="120" w:after="120" w:line="276" w:lineRule="auto"/>
        <w:jc w:val="both"/>
        <w:rPr>
          <w:rFonts w:ascii="Azo Sans Lt" w:hAnsi="Azo Sans Lt" w:cstheme="minorHAnsi"/>
          <w:b/>
          <w:bCs/>
        </w:rPr>
      </w:pPr>
      <w:r w:rsidRPr="00215B49">
        <w:rPr>
          <w:rFonts w:ascii="Azo Sans Lt" w:hAnsi="Azo Sans Lt" w:cstheme="minorHAnsi"/>
          <w:b/>
          <w:bCs/>
        </w:rPr>
        <w:t xml:space="preserve">Nome do requisitante: </w:t>
      </w:r>
      <w:bookmarkStart w:id="4" w:name="_Hlk133590294"/>
      <w:r w:rsidRPr="00215B49">
        <w:rPr>
          <w:rFonts w:ascii="Azo Sans Lt" w:hAnsi="Azo Sans Lt" w:cstheme="minorHAnsi"/>
          <w:b/>
          <w:bCs/>
        </w:rPr>
        <w:t>PROCURADORIA-GERAL DO MUNICÍPIO DE NOVA FRIBURGO</w:t>
      </w:r>
    </w:p>
    <w:bookmarkEnd w:id="4"/>
    <w:p w14:paraId="73F070C1" w14:textId="57131965" w:rsidR="00215B49" w:rsidRPr="00215B49" w:rsidRDefault="00215B49" w:rsidP="00215B49">
      <w:pPr>
        <w:widowControl/>
        <w:autoSpaceDE/>
        <w:autoSpaceDN/>
        <w:spacing w:before="120" w:after="120" w:line="276" w:lineRule="auto"/>
        <w:jc w:val="both"/>
        <w:rPr>
          <w:rFonts w:ascii="Azo Sans Lt" w:hAnsi="Azo Sans Lt" w:cstheme="minorHAnsi"/>
          <w:b/>
          <w:bCs/>
        </w:rPr>
      </w:pPr>
      <w:r w:rsidRPr="00215B49">
        <w:rPr>
          <w:rFonts w:ascii="Azo Sans Lt" w:hAnsi="Azo Sans Lt" w:cstheme="minorHAnsi"/>
          <w:b/>
          <w:bCs/>
        </w:rPr>
        <w:t>Endereço: Rua Moisés Amélio, 07, 1º piso, Centro, Nova Friburgo/RJ, CEP: 28.613-210.</w:t>
      </w:r>
    </w:p>
    <w:p w14:paraId="72AE1177" w14:textId="4577563A" w:rsidR="00215B49" w:rsidRPr="00215B49" w:rsidRDefault="00215B49" w:rsidP="00215B49">
      <w:pPr>
        <w:widowControl/>
        <w:autoSpaceDE/>
        <w:autoSpaceDN/>
        <w:spacing w:before="120" w:after="120" w:line="276" w:lineRule="auto"/>
        <w:jc w:val="both"/>
        <w:rPr>
          <w:rFonts w:ascii="Azo Sans Lt" w:hAnsi="Azo Sans Lt" w:cstheme="minorHAnsi"/>
          <w:b/>
          <w:bCs/>
        </w:rPr>
      </w:pPr>
      <w:r w:rsidRPr="00215B49">
        <w:rPr>
          <w:rFonts w:ascii="Azo Sans Lt" w:hAnsi="Azo Sans Lt" w:cstheme="minorHAnsi"/>
          <w:b/>
          <w:bCs/>
        </w:rPr>
        <w:t>Horário de entrega: De Segunda à Sexta-feira das 09 horas às 16 horas.</w:t>
      </w:r>
    </w:p>
    <w:p w14:paraId="2F31807D"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Devido a questões de logística, o local da entrega poderá ser alterado pela CONTRATANTE, desde que seja efetuada dentro dos limites geográficos do Município de Nova Friburgo. Todas as informações de entrega estarão previstas no ato do envio da Nota de Empenho e Requisição.</w:t>
      </w:r>
    </w:p>
    <w:p w14:paraId="3F9DA354"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Os serviços de montagem do mobiliário serão executados, preferencialmente, durante o horário de expediente, das 09:00 às 16:00 horas, podendo, a critério da Procuradoria, ser deslocados para outros horários (noturno ou dias não úteis), caso a sua realização possa acarretar prejuízos ao normal desenvolvimento dos trabalhos da Contratante, sem ônus adicionais ao contrato.</w:t>
      </w:r>
    </w:p>
    <w:p w14:paraId="2842A031"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A entrega, montagem e instalação deverá ser agendada com antecedência não inferior a 72 (setenta e duas) horas, para que sejam disponibilizados endereços de entrega dos itens, quando necessário.</w:t>
      </w:r>
    </w:p>
    <w:p w14:paraId="1CE8F57C" w14:textId="4DA49D7B"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lastRenderedPageBreak/>
        <w:t>Os itens constantes no subitem 1.2 d</w:t>
      </w:r>
      <w:r w:rsidR="0069191B">
        <w:rPr>
          <w:rFonts w:ascii="Azo Sans Lt" w:hAnsi="Azo Sans Lt" w:cstheme="minorHAnsi"/>
          <w:lang w:val="pt-BR"/>
        </w:rPr>
        <w:t>o</w:t>
      </w:r>
      <w:r w:rsidRPr="00215B49">
        <w:rPr>
          <w:rFonts w:ascii="Azo Sans Lt" w:hAnsi="Azo Sans Lt" w:cstheme="minorHAnsi"/>
          <w:lang w:val="pt-BR"/>
        </w:rPr>
        <w:t xml:space="preserve"> Termo de Referência deverão ser entregues sem violação da embalagem, sem deterioração ou qualquer outro fator que possa comprometer seu uso ou qualidade.</w:t>
      </w:r>
    </w:p>
    <w:p w14:paraId="18D71EBD"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Caso os itens apresentem embalagem violada ou qualquer tipo de comprometimento para seu uso, bem como marca trocada (em desacordo com a proposta apresentada pela licitante), caberá à Contratada efetuar a troca, no prazo máximo de 48 (quarenta e oito) horas, se responsabilizando, ademais, por todas as despesas que porventura venham a ocorrer.</w:t>
      </w:r>
    </w:p>
    <w:p w14:paraId="437F712C"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Em hipótese alguma serão aceitos produtos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541A0B9E"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No momento da entrega, os itens deverão ser acompanhados dos seguintes documentos (quando aplicável):</w:t>
      </w:r>
    </w:p>
    <w:p w14:paraId="063C99DF" w14:textId="5A4CFD61" w:rsidR="00215B49" w:rsidRPr="0069191B"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69191B">
        <w:rPr>
          <w:rFonts w:ascii="Azo Sans Lt" w:hAnsi="Azo Sans Lt" w:cstheme="minorHAnsi"/>
          <w:lang w:val="pt-BR"/>
        </w:rPr>
        <w:t>Manual de operação;</w:t>
      </w:r>
    </w:p>
    <w:p w14:paraId="5DE7C1F2" w14:textId="77777777" w:rsidR="00215B49" w:rsidRPr="00215B49"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Manual de serviços;</w:t>
      </w:r>
    </w:p>
    <w:p w14:paraId="1F085B20" w14:textId="77777777" w:rsidR="00215B49" w:rsidRPr="00215B49"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Esquemas eletrônicos;</w:t>
      </w:r>
    </w:p>
    <w:p w14:paraId="1E9C97EB" w14:textId="77777777" w:rsidR="00215B49" w:rsidRPr="00215B49"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Procedimentos de calibração;</w:t>
      </w:r>
    </w:p>
    <w:p w14:paraId="787CDC2C" w14:textId="77777777" w:rsidR="00215B49" w:rsidRPr="00215B49"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Procedimentos de manutenção preventiva;</w:t>
      </w:r>
    </w:p>
    <w:p w14:paraId="691780F6" w14:textId="77777777" w:rsidR="00215B49" w:rsidRPr="00215B49" w:rsidRDefault="00215B49" w:rsidP="0069191B">
      <w:pPr>
        <w:pStyle w:val="PargrafodaLista"/>
        <w:widowControl/>
        <w:numPr>
          <w:ilvl w:val="3"/>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Certificado de garantia;</w:t>
      </w:r>
    </w:p>
    <w:p w14:paraId="3FDEFD43"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A CONTRATANTE disponibilizará um servidor para acompanhar as entregas, montagem e instalação dos itens, sendo preferencialmente, o agente patrimonial da Secretaria requisitante.</w:t>
      </w:r>
    </w:p>
    <w:p w14:paraId="63B25D04" w14:textId="108F84A1"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Os produtos serão recebidos provisoriamente no prazo de 04 (quatro) dias úteis, pelo responsável pelo acompanhamento e fiscalização do contrato, para efeito de posterior verificação de sua conformidade com as especificações constantes n</w:t>
      </w:r>
      <w:r w:rsidR="0069191B">
        <w:rPr>
          <w:rFonts w:ascii="Azo Sans Lt" w:hAnsi="Azo Sans Lt" w:cstheme="minorHAnsi"/>
          <w:lang w:val="pt-BR"/>
        </w:rPr>
        <w:t>o</w:t>
      </w:r>
      <w:r w:rsidRPr="00215B49">
        <w:rPr>
          <w:rFonts w:ascii="Azo Sans Lt" w:hAnsi="Azo Sans Lt" w:cstheme="minorHAnsi"/>
          <w:lang w:val="pt-BR"/>
        </w:rPr>
        <w:t xml:space="preserve"> Termo de Referência e na proposta;</w:t>
      </w:r>
    </w:p>
    <w:p w14:paraId="4AF9AA4B"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Os bens poderão ser rejeitados, no todo ou em parte, quando em desacordo com as especificações constantes neste Termo de Referência e na proposta, devendo ser substituídos no prazo máximo de 10 (dez) dias, a contar da notificação da Contratada, às suas custas, sem prejuízo para contratante;</w:t>
      </w:r>
    </w:p>
    <w:p w14:paraId="0A72CD4F"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Os bens serão recebidos definitivamente no prazo de 05 (cinco) dias, contados do recebimento provisório, após a verificação da qualidade, quantidade e montagem do material e consequente aceitação mediante termo circunstanciado;</w:t>
      </w:r>
    </w:p>
    <w:p w14:paraId="00A21F44"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lastRenderedPageBreak/>
        <w:t>Na hipótese de a verificação a que se refere o subitem anterior não ser procedida dentro do prazo fixado, reputar-se-á como realizada, consumando-se o recebimento definitivo no dia do esgotamento do prazo;</w:t>
      </w:r>
    </w:p>
    <w:p w14:paraId="26CEFF64" w14:textId="77777777" w:rsidR="00215B49" w:rsidRPr="00215B49" w:rsidRDefault="00215B49" w:rsidP="00215B49">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215B49">
        <w:rPr>
          <w:rFonts w:ascii="Azo Sans Lt" w:hAnsi="Azo Sans Lt" w:cstheme="minorHAnsi"/>
          <w:lang w:val="pt-BR"/>
        </w:rPr>
        <w:t>O recebimento provisório ou definitivo do objeto não exclui a responsabilidade da Contratada pelos prejuízos resultantes da incorreta execução do contrato.</w:t>
      </w:r>
    </w:p>
    <w:bookmarkEnd w:id="3"/>
    <w:p w14:paraId="51653C8A" w14:textId="2A67363E" w:rsidR="00A14FF7" w:rsidRPr="00416683" w:rsidRDefault="00A14FF7" w:rsidP="00A14FF7">
      <w:pPr>
        <w:widowControl/>
        <w:numPr>
          <w:ilvl w:val="0"/>
          <w:numId w:val="27"/>
        </w:numPr>
        <w:autoSpaceDE/>
        <w:autoSpaceDN/>
        <w:spacing w:before="120" w:after="120" w:line="276" w:lineRule="auto"/>
        <w:jc w:val="both"/>
        <w:rPr>
          <w:rFonts w:ascii="Azo Sans Lt" w:hAnsi="Azo Sans Lt" w:cstheme="minorHAnsi"/>
        </w:rPr>
      </w:pPr>
      <w:r w:rsidRPr="00416683">
        <w:rPr>
          <w:rFonts w:ascii="Azo Sans Lt" w:hAnsi="Azo Sans Lt" w:cstheme="minorHAnsi"/>
        </w:rPr>
        <w:t xml:space="preserve">- </w:t>
      </w:r>
      <w:r w:rsidR="001D32DF" w:rsidRPr="00416683">
        <w:rPr>
          <w:rFonts w:ascii="Azo Sans Lt" w:hAnsi="Azo Sans Lt" w:cstheme="minorHAnsi"/>
        </w:rPr>
        <w:t xml:space="preserve">CLAÚSULA NONA </w:t>
      </w:r>
      <w:r w:rsidRPr="00416683">
        <w:rPr>
          <w:rFonts w:ascii="Azo Sans Lt" w:hAnsi="Azo Sans Lt" w:cstheme="minorHAnsi"/>
        </w:rPr>
        <w:t>–</w:t>
      </w:r>
      <w:r w:rsidR="001D32DF" w:rsidRPr="00416683">
        <w:rPr>
          <w:rFonts w:ascii="Azo Sans Lt" w:hAnsi="Azo Sans Lt" w:cstheme="minorHAnsi"/>
        </w:rPr>
        <w:t xml:space="preserve"> </w:t>
      </w:r>
      <w:r w:rsidR="00FD6787">
        <w:rPr>
          <w:rFonts w:ascii="Azo Sans Lt" w:hAnsi="Azo Sans Lt" w:cstheme="minorHAnsi"/>
        </w:rPr>
        <w:t xml:space="preserve"> </w:t>
      </w:r>
      <w:r w:rsidR="00FD6787" w:rsidRPr="00FD6787">
        <w:rPr>
          <w:rFonts w:ascii="Azo Sans Lt" w:hAnsi="Azo Sans Lt" w:cstheme="minorHAnsi"/>
        </w:rPr>
        <w:t>CONTROLE DA EXECUÇÃO</w:t>
      </w:r>
    </w:p>
    <w:p w14:paraId="058B1C6B"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O acompanhamento e a fiscalização da aquisição serão exercidos por representantes da Contratante, aos quais competirá dirimir as dúvidas que surgirem no curso da execução da compra, de tudo dar ciência à Administração, na forma dos artigos 67 e 73 da Lei n.º 8.666/93;</w:t>
      </w:r>
    </w:p>
    <w:p w14:paraId="29129E9F"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Será disponibilizado um ou mais servidores para acompanhar as entregas, montagem e instalação dos itens, dentre eles, preferencialmente, o agente patrimonial da Secretaria requisitante;</w:t>
      </w:r>
    </w:p>
    <w:p w14:paraId="4463E66D"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Os fiscais designados deverão ter a experiência necessária para o acompanhamento e controle da aquisição;</w:t>
      </w:r>
    </w:p>
    <w:p w14:paraId="56F7E2F8"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Para o acompanhamento e fiscalização do presente, ficam designados os agentes públicos listados a seguir:</w:t>
      </w:r>
    </w:p>
    <w:tbl>
      <w:tblPr>
        <w:tblStyle w:val="TableNormal2"/>
        <w:tblW w:w="906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00"/>
        <w:gridCol w:w="3280"/>
        <w:gridCol w:w="2480"/>
      </w:tblGrid>
      <w:tr w:rsidR="00FD6787" w:rsidRPr="00FD6787" w14:paraId="0C952704" w14:textId="77777777" w:rsidTr="00FD6787">
        <w:trPr>
          <w:trHeight w:val="509"/>
          <w:jc w:val="center"/>
        </w:trPr>
        <w:tc>
          <w:tcPr>
            <w:tcW w:w="3300" w:type="dxa"/>
          </w:tcPr>
          <w:p w14:paraId="47D02CEE" w14:textId="77777777" w:rsidR="00FD6787" w:rsidRPr="00FD6787" w:rsidRDefault="00FD6787" w:rsidP="00FD6787">
            <w:pPr>
              <w:spacing w:before="98"/>
              <w:ind w:left="223" w:right="206"/>
              <w:jc w:val="center"/>
              <w:rPr>
                <w:rFonts w:ascii="Times New Roman" w:eastAsia="Times New Roman" w:hAnsi="Times New Roman" w:cs="Times New Roman"/>
                <w:b/>
                <w:sz w:val="24"/>
              </w:rPr>
            </w:pPr>
            <w:r w:rsidRPr="00FD6787">
              <w:rPr>
                <w:rFonts w:ascii="Times New Roman" w:eastAsia="Times New Roman" w:hAnsi="Times New Roman" w:cs="Times New Roman"/>
                <w:b/>
                <w:sz w:val="24"/>
              </w:rPr>
              <w:t>Servidor</w:t>
            </w:r>
          </w:p>
        </w:tc>
        <w:tc>
          <w:tcPr>
            <w:tcW w:w="3280" w:type="dxa"/>
          </w:tcPr>
          <w:p w14:paraId="1858779C" w14:textId="77777777" w:rsidR="00FD6787" w:rsidRPr="00FD6787" w:rsidRDefault="00FD6787" w:rsidP="00FD6787">
            <w:pPr>
              <w:spacing w:before="98"/>
              <w:ind w:left="1094" w:right="1088"/>
              <w:jc w:val="center"/>
              <w:rPr>
                <w:rFonts w:ascii="Times New Roman" w:eastAsia="Times New Roman" w:hAnsi="Times New Roman" w:cs="Times New Roman"/>
                <w:b/>
                <w:sz w:val="24"/>
              </w:rPr>
            </w:pPr>
            <w:r w:rsidRPr="00FD6787">
              <w:rPr>
                <w:rFonts w:ascii="Times New Roman" w:eastAsia="Times New Roman" w:hAnsi="Times New Roman" w:cs="Times New Roman"/>
                <w:b/>
                <w:sz w:val="24"/>
              </w:rPr>
              <w:t>Matrícula</w:t>
            </w:r>
          </w:p>
        </w:tc>
        <w:tc>
          <w:tcPr>
            <w:tcW w:w="2480" w:type="dxa"/>
          </w:tcPr>
          <w:p w14:paraId="14F16AA6" w14:textId="77777777" w:rsidR="00FD6787" w:rsidRPr="00FD6787" w:rsidRDefault="00FD6787" w:rsidP="00FD6787">
            <w:pPr>
              <w:spacing w:before="98"/>
              <w:ind w:left="399" w:right="377"/>
              <w:jc w:val="center"/>
              <w:rPr>
                <w:rFonts w:ascii="Times New Roman" w:eastAsia="Times New Roman" w:hAnsi="Times New Roman" w:cs="Times New Roman"/>
                <w:b/>
                <w:sz w:val="24"/>
              </w:rPr>
            </w:pPr>
            <w:r w:rsidRPr="00FD6787">
              <w:rPr>
                <w:rFonts w:ascii="Times New Roman" w:eastAsia="Times New Roman" w:hAnsi="Times New Roman" w:cs="Times New Roman"/>
                <w:b/>
                <w:sz w:val="24"/>
              </w:rPr>
              <w:t>Designação</w:t>
            </w:r>
          </w:p>
        </w:tc>
      </w:tr>
      <w:tr w:rsidR="00FD6787" w:rsidRPr="00FD6787" w14:paraId="33500DD9" w14:textId="77777777" w:rsidTr="00FD6787">
        <w:trPr>
          <w:trHeight w:val="510"/>
          <w:jc w:val="center"/>
        </w:trPr>
        <w:tc>
          <w:tcPr>
            <w:tcW w:w="3300" w:type="dxa"/>
          </w:tcPr>
          <w:p w14:paraId="51068D95" w14:textId="77777777" w:rsidR="00FD6787" w:rsidRPr="00FD6787" w:rsidRDefault="00FD6787" w:rsidP="00FD6787">
            <w:pPr>
              <w:spacing w:before="100"/>
              <w:ind w:left="223" w:right="206"/>
              <w:jc w:val="center"/>
              <w:rPr>
                <w:rFonts w:ascii="Times New Roman" w:eastAsia="Times New Roman" w:hAnsi="Times New Roman" w:cs="Times New Roman"/>
                <w:sz w:val="24"/>
              </w:rPr>
            </w:pPr>
            <w:r w:rsidRPr="00FD6787">
              <w:rPr>
                <w:rFonts w:ascii="Times New Roman" w:eastAsia="Times New Roman" w:hAnsi="Times New Roman" w:cs="Times New Roman"/>
                <w:sz w:val="24"/>
              </w:rPr>
              <w:t>Wilson</w:t>
            </w:r>
            <w:r w:rsidRPr="00FD6787">
              <w:rPr>
                <w:rFonts w:ascii="Times New Roman" w:eastAsia="Times New Roman" w:hAnsi="Times New Roman" w:cs="Times New Roman"/>
                <w:spacing w:val="-8"/>
                <w:sz w:val="24"/>
              </w:rPr>
              <w:t xml:space="preserve"> </w:t>
            </w:r>
            <w:r w:rsidRPr="00FD6787">
              <w:rPr>
                <w:rFonts w:ascii="Times New Roman" w:eastAsia="Times New Roman" w:hAnsi="Times New Roman" w:cs="Times New Roman"/>
                <w:sz w:val="24"/>
              </w:rPr>
              <w:t>Guimarães</w:t>
            </w:r>
            <w:r w:rsidRPr="00FD6787">
              <w:rPr>
                <w:rFonts w:ascii="Times New Roman" w:eastAsia="Times New Roman" w:hAnsi="Times New Roman" w:cs="Times New Roman"/>
                <w:spacing w:val="-7"/>
                <w:sz w:val="24"/>
              </w:rPr>
              <w:t xml:space="preserve"> </w:t>
            </w:r>
            <w:r w:rsidRPr="00FD6787">
              <w:rPr>
                <w:rFonts w:ascii="Times New Roman" w:eastAsia="Times New Roman" w:hAnsi="Times New Roman" w:cs="Times New Roman"/>
                <w:sz w:val="24"/>
              </w:rPr>
              <w:t>Vianna</w:t>
            </w:r>
          </w:p>
        </w:tc>
        <w:tc>
          <w:tcPr>
            <w:tcW w:w="3280" w:type="dxa"/>
          </w:tcPr>
          <w:p w14:paraId="037271C3" w14:textId="77777777" w:rsidR="00FD6787" w:rsidRPr="00FD6787" w:rsidRDefault="00FD6787" w:rsidP="00FD6787">
            <w:pPr>
              <w:spacing w:before="100"/>
              <w:ind w:left="1094" w:right="1088"/>
              <w:jc w:val="center"/>
              <w:rPr>
                <w:rFonts w:ascii="Times New Roman" w:eastAsia="Times New Roman" w:hAnsi="Times New Roman" w:cs="Times New Roman"/>
                <w:sz w:val="24"/>
              </w:rPr>
            </w:pPr>
            <w:r w:rsidRPr="00FD6787">
              <w:rPr>
                <w:rFonts w:ascii="Times New Roman" w:eastAsia="Times New Roman" w:hAnsi="Times New Roman" w:cs="Times New Roman"/>
                <w:sz w:val="24"/>
              </w:rPr>
              <w:t>62.048</w:t>
            </w:r>
          </w:p>
        </w:tc>
        <w:tc>
          <w:tcPr>
            <w:tcW w:w="2480" w:type="dxa"/>
          </w:tcPr>
          <w:p w14:paraId="5882F724" w14:textId="77777777" w:rsidR="00FD6787" w:rsidRPr="00FD6787" w:rsidRDefault="00FD6787" w:rsidP="00FD6787">
            <w:pPr>
              <w:spacing w:before="100"/>
              <w:ind w:left="399" w:right="377"/>
              <w:jc w:val="center"/>
              <w:rPr>
                <w:rFonts w:ascii="Times New Roman" w:eastAsia="Times New Roman" w:hAnsi="Times New Roman" w:cs="Times New Roman"/>
                <w:sz w:val="24"/>
              </w:rPr>
            </w:pPr>
            <w:r w:rsidRPr="00FD6787">
              <w:rPr>
                <w:rFonts w:ascii="Times New Roman" w:eastAsia="Times New Roman" w:hAnsi="Times New Roman" w:cs="Times New Roman"/>
                <w:sz w:val="24"/>
              </w:rPr>
              <w:t>Fiscal titular</w:t>
            </w:r>
          </w:p>
        </w:tc>
      </w:tr>
      <w:tr w:rsidR="00FD6787" w:rsidRPr="00FD6787" w14:paraId="502CACB5" w14:textId="77777777" w:rsidTr="00FD6787">
        <w:trPr>
          <w:trHeight w:val="510"/>
          <w:jc w:val="center"/>
        </w:trPr>
        <w:tc>
          <w:tcPr>
            <w:tcW w:w="3300" w:type="dxa"/>
          </w:tcPr>
          <w:p w14:paraId="21301BA5" w14:textId="77777777" w:rsidR="00FD6787" w:rsidRPr="00FD6787" w:rsidRDefault="00FD6787" w:rsidP="00FD6787">
            <w:pPr>
              <w:spacing w:before="102"/>
              <w:ind w:left="223" w:right="206"/>
              <w:jc w:val="center"/>
              <w:rPr>
                <w:rFonts w:ascii="Times New Roman" w:eastAsia="Times New Roman" w:hAnsi="Times New Roman" w:cs="Times New Roman"/>
                <w:sz w:val="24"/>
              </w:rPr>
            </w:pPr>
            <w:r w:rsidRPr="00FD6787">
              <w:rPr>
                <w:rFonts w:ascii="Times New Roman" w:eastAsia="Times New Roman" w:hAnsi="Times New Roman" w:cs="Times New Roman"/>
                <w:sz w:val="24"/>
              </w:rPr>
              <w:t>Maíque Júnior Silva de Lima</w:t>
            </w:r>
          </w:p>
        </w:tc>
        <w:tc>
          <w:tcPr>
            <w:tcW w:w="3280" w:type="dxa"/>
          </w:tcPr>
          <w:p w14:paraId="4DA14C4D" w14:textId="77777777" w:rsidR="00FD6787" w:rsidRPr="00FD6787" w:rsidRDefault="00FD6787" w:rsidP="00FD6787">
            <w:pPr>
              <w:spacing w:before="102"/>
              <w:ind w:left="1094" w:right="1088"/>
              <w:jc w:val="center"/>
              <w:rPr>
                <w:rFonts w:ascii="Times New Roman" w:eastAsia="Times New Roman" w:hAnsi="Times New Roman" w:cs="Times New Roman"/>
                <w:sz w:val="24"/>
              </w:rPr>
            </w:pPr>
            <w:r w:rsidRPr="00FD6787">
              <w:rPr>
                <w:rFonts w:ascii="Times New Roman" w:eastAsia="Times New Roman" w:hAnsi="Times New Roman" w:cs="Times New Roman"/>
                <w:sz w:val="24"/>
              </w:rPr>
              <w:t>62.480</w:t>
            </w:r>
          </w:p>
        </w:tc>
        <w:tc>
          <w:tcPr>
            <w:tcW w:w="2480" w:type="dxa"/>
          </w:tcPr>
          <w:p w14:paraId="3FF90B20" w14:textId="77777777" w:rsidR="00FD6787" w:rsidRPr="00FD6787" w:rsidRDefault="00FD6787" w:rsidP="00FD6787">
            <w:pPr>
              <w:spacing w:before="102"/>
              <w:ind w:left="399" w:right="377"/>
              <w:jc w:val="center"/>
              <w:rPr>
                <w:rFonts w:ascii="Times New Roman" w:eastAsia="Times New Roman" w:hAnsi="Times New Roman" w:cs="Times New Roman"/>
                <w:sz w:val="24"/>
              </w:rPr>
            </w:pPr>
            <w:r w:rsidRPr="00FD6787">
              <w:rPr>
                <w:rFonts w:ascii="Times New Roman" w:eastAsia="Times New Roman" w:hAnsi="Times New Roman" w:cs="Times New Roman"/>
                <w:sz w:val="24"/>
              </w:rPr>
              <w:t>Fiscal substituto</w:t>
            </w:r>
          </w:p>
        </w:tc>
      </w:tr>
      <w:tr w:rsidR="00FD6787" w:rsidRPr="00FD6787" w14:paraId="566EFF70" w14:textId="77777777" w:rsidTr="00FD6787">
        <w:trPr>
          <w:trHeight w:val="444"/>
          <w:jc w:val="center"/>
        </w:trPr>
        <w:tc>
          <w:tcPr>
            <w:tcW w:w="3300" w:type="dxa"/>
          </w:tcPr>
          <w:p w14:paraId="5CEA6CAD" w14:textId="77777777" w:rsidR="00FD6787" w:rsidRPr="00FD6787" w:rsidRDefault="00FD6787" w:rsidP="00FD6787">
            <w:pPr>
              <w:spacing w:before="105"/>
              <w:ind w:left="223" w:right="206"/>
              <w:jc w:val="center"/>
              <w:rPr>
                <w:rFonts w:ascii="Times New Roman" w:eastAsia="Times New Roman" w:hAnsi="Times New Roman" w:cs="Times New Roman"/>
                <w:sz w:val="24"/>
              </w:rPr>
            </w:pPr>
            <w:r w:rsidRPr="00FD6787">
              <w:rPr>
                <w:rFonts w:ascii="Times New Roman" w:eastAsia="Times New Roman" w:hAnsi="Times New Roman" w:cs="Times New Roman"/>
                <w:sz w:val="24"/>
              </w:rPr>
              <w:t>Felipe Barros de Oliveira</w:t>
            </w:r>
          </w:p>
        </w:tc>
        <w:tc>
          <w:tcPr>
            <w:tcW w:w="3280" w:type="dxa"/>
          </w:tcPr>
          <w:p w14:paraId="28580948" w14:textId="77777777" w:rsidR="00FD6787" w:rsidRPr="00FD6787" w:rsidRDefault="00FD6787" w:rsidP="00FD6787">
            <w:pPr>
              <w:spacing w:before="105"/>
              <w:ind w:left="1094" w:right="1088"/>
              <w:jc w:val="center"/>
              <w:rPr>
                <w:rFonts w:ascii="Times New Roman" w:eastAsia="Times New Roman" w:hAnsi="Times New Roman" w:cs="Times New Roman"/>
                <w:sz w:val="24"/>
              </w:rPr>
            </w:pPr>
            <w:r w:rsidRPr="00FD6787">
              <w:rPr>
                <w:rFonts w:ascii="Times New Roman" w:eastAsia="Times New Roman" w:hAnsi="Times New Roman" w:cs="Times New Roman"/>
                <w:sz w:val="24"/>
              </w:rPr>
              <w:t>62.980</w:t>
            </w:r>
          </w:p>
        </w:tc>
        <w:tc>
          <w:tcPr>
            <w:tcW w:w="2480" w:type="dxa"/>
          </w:tcPr>
          <w:p w14:paraId="5468E03A" w14:textId="77777777" w:rsidR="00FD6787" w:rsidRPr="00FD6787" w:rsidRDefault="00FD6787" w:rsidP="00FD6787">
            <w:pPr>
              <w:spacing w:before="105"/>
              <w:ind w:left="399" w:right="377"/>
              <w:jc w:val="center"/>
              <w:rPr>
                <w:rFonts w:ascii="Times New Roman" w:eastAsia="Times New Roman" w:hAnsi="Times New Roman" w:cs="Times New Roman"/>
                <w:sz w:val="24"/>
              </w:rPr>
            </w:pPr>
            <w:r w:rsidRPr="00FD6787">
              <w:rPr>
                <w:rFonts w:ascii="Times New Roman" w:eastAsia="Times New Roman" w:hAnsi="Times New Roman" w:cs="Times New Roman"/>
                <w:sz w:val="24"/>
              </w:rPr>
              <w:t>Gestor titular</w:t>
            </w:r>
          </w:p>
        </w:tc>
      </w:tr>
      <w:tr w:rsidR="00FD6787" w:rsidRPr="00FD6787" w14:paraId="132F38F9" w14:textId="77777777" w:rsidTr="00FD6787">
        <w:trPr>
          <w:trHeight w:val="829"/>
          <w:jc w:val="center"/>
        </w:trPr>
        <w:tc>
          <w:tcPr>
            <w:tcW w:w="3300" w:type="dxa"/>
          </w:tcPr>
          <w:p w14:paraId="7B4A5AE1" w14:textId="77777777" w:rsidR="00FD6787" w:rsidRPr="00FD6787" w:rsidRDefault="00FD6787" w:rsidP="00FD6787">
            <w:pPr>
              <w:spacing w:before="107" w:line="276" w:lineRule="auto"/>
              <w:ind w:left="1150" w:right="588" w:hanging="538"/>
              <w:rPr>
                <w:rFonts w:ascii="Times New Roman" w:eastAsia="Times New Roman" w:hAnsi="Times New Roman" w:cs="Times New Roman"/>
                <w:sz w:val="24"/>
              </w:rPr>
            </w:pPr>
            <w:r w:rsidRPr="00FD6787">
              <w:rPr>
                <w:rFonts w:ascii="Times New Roman" w:eastAsia="Times New Roman" w:hAnsi="Times New Roman" w:cs="Times New Roman"/>
                <w:sz w:val="24"/>
              </w:rPr>
              <w:t>Arthur</w:t>
            </w:r>
            <w:r w:rsidRPr="00FD6787">
              <w:rPr>
                <w:rFonts w:ascii="Times New Roman" w:eastAsia="Times New Roman" w:hAnsi="Times New Roman" w:cs="Times New Roman"/>
                <w:spacing w:val="-15"/>
                <w:sz w:val="24"/>
              </w:rPr>
              <w:t xml:space="preserve"> </w:t>
            </w:r>
            <w:r w:rsidRPr="00FD6787">
              <w:rPr>
                <w:rFonts w:ascii="Times New Roman" w:eastAsia="Times New Roman" w:hAnsi="Times New Roman" w:cs="Times New Roman"/>
                <w:sz w:val="24"/>
              </w:rPr>
              <w:t>Sartori</w:t>
            </w:r>
            <w:r w:rsidRPr="00FD6787">
              <w:rPr>
                <w:rFonts w:ascii="Times New Roman" w:eastAsia="Times New Roman" w:hAnsi="Times New Roman" w:cs="Times New Roman"/>
                <w:spacing w:val="-15"/>
                <w:sz w:val="24"/>
              </w:rPr>
              <w:t xml:space="preserve"> </w:t>
            </w:r>
            <w:r w:rsidRPr="00FD6787">
              <w:rPr>
                <w:rFonts w:ascii="Times New Roman" w:eastAsia="Times New Roman" w:hAnsi="Times New Roman" w:cs="Times New Roman"/>
                <w:sz w:val="24"/>
              </w:rPr>
              <w:t>Tozato</w:t>
            </w:r>
            <w:r w:rsidRPr="00FD6787">
              <w:rPr>
                <w:rFonts w:ascii="Times New Roman" w:eastAsia="Times New Roman" w:hAnsi="Times New Roman" w:cs="Times New Roman"/>
                <w:spacing w:val="-57"/>
                <w:sz w:val="24"/>
              </w:rPr>
              <w:t xml:space="preserve"> </w:t>
            </w:r>
            <w:r w:rsidRPr="00FD6787">
              <w:rPr>
                <w:rFonts w:ascii="Times New Roman" w:eastAsia="Times New Roman" w:hAnsi="Times New Roman" w:cs="Times New Roman"/>
                <w:sz w:val="24"/>
              </w:rPr>
              <w:t>Rodrigues</w:t>
            </w:r>
          </w:p>
        </w:tc>
        <w:tc>
          <w:tcPr>
            <w:tcW w:w="3280" w:type="dxa"/>
          </w:tcPr>
          <w:p w14:paraId="6E8D58DB" w14:textId="77777777" w:rsidR="00FD6787" w:rsidRPr="00FD6787" w:rsidRDefault="00FD6787" w:rsidP="00FD6787">
            <w:pPr>
              <w:spacing w:before="107"/>
              <w:ind w:left="1094" w:right="1088"/>
              <w:jc w:val="center"/>
              <w:rPr>
                <w:rFonts w:ascii="Times New Roman" w:eastAsia="Times New Roman" w:hAnsi="Times New Roman" w:cs="Times New Roman"/>
                <w:sz w:val="24"/>
              </w:rPr>
            </w:pPr>
            <w:r w:rsidRPr="00FD6787">
              <w:rPr>
                <w:rFonts w:ascii="Times New Roman" w:eastAsia="Times New Roman" w:hAnsi="Times New Roman" w:cs="Times New Roman"/>
                <w:sz w:val="24"/>
              </w:rPr>
              <w:t>63.048</w:t>
            </w:r>
          </w:p>
        </w:tc>
        <w:tc>
          <w:tcPr>
            <w:tcW w:w="2480" w:type="dxa"/>
          </w:tcPr>
          <w:p w14:paraId="3F96B1C9" w14:textId="77777777" w:rsidR="00FD6787" w:rsidRPr="00FD6787" w:rsidRDefault="00FD6787" w:rsidP="00FD6787">
            <w:pPr>
              <w:spacing w:before="107"/>
              <w:ind w:left="399" w:right="377"/>
              <w:jc w:val="center"/>
              <w:rPr>
                <w:rFonts w:ascii="Times New Roman" w:eastAsia="Times New Roman" w:hAnsi="Times New Roman" w:cs="Times New Roman"/>
                <w:sz w:val="24"/>
              </w:rPr>
            </w:pPr>
            <w:r w:rsidRPr="00FD6787">
              <w:rPr>
                <w:rFonts w:ascii="Times New Roman" w:eastAsia="Times New Roman" w:hAnsi="Times New Roman" w:cs="Times New Roman"/>
                <w:sz w:val="24"/>
              </w:rPr>
              <w:t>Gestor substituto</w:t>
            </w:r>
          </w:p>
        </w:tc>
      </w:tr>
    </w:tbl>
    <w:p w14:paraId="4A2EE571"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Os fiscais do contrato anotarão em registro próprio todas as ocorrências relacionadas com a execução da contratação,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1923568C" w14:textId="77777777" w:rsidR="00FD6787" w:rsidRPr="00FD6787" w:rsidRDefault="00FD6787" w:rsidP="00FD67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D6787">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emprego de material inadequado ou de qualidade inferior e, na ocorrência desta, não implica em corresponsabilidade da Contratante ou de seus agentes e prepostos, de conformidade com o art. 70 da Lei nº 8.666, de 1993.</w:t>
      </w:r>
    </w:p>
    <w:p w14:paraId="1ECB67B5" w14:textId="3CF9098D"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 xml:space="preserve">CLÁUSULA DÉCIMA – OBRIGAÇÕES DA </w:t>
      </w:r>
      <w:r w:rsidR="00836996" w:rsidRPr="00C81B18">
        <w:rPr>
          <w:rFonts w:ascii="Azo Sans Lt" w:hAnsi="Azo Sans Lt" w:cstheme="minorHAnsi"/>
          <w:sz w:val="22"/>
          <w:szCs w:val="22"/>
        </w:rPr>
        <w:t xml:space="preserve">CONTRATADA E DA </w:t>
      </w:r>
      <w:r w:rsidR="001D32DF" w:rsidRPr="00C81B18">
        <w:rPr>
          <w:rFonts w:ascii="Azo Sans Lt" w:hAnsi="Azo Sans Lt" w:cstheme="minorHAnsi"/>
          <w:sz w:val="22"/>
          <w:szCs w:val="22"/>
        </w:rPr>
        <w:t xml:space="preserve">CONTRATANTE </w:t>
      </w:r>
    </w:p>
    <w:p w14:paraId="3C8F79C5" w14:textId="2FF67624"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 xml:space="preserve">Caberá à </w:t>
      </w:r>
      <w:r w:rsidR="00836996">
        <w:rPr>
          <w:rFonts w:ascii="Azo Sans Lt" w:hAnsi="Azo Sans Lt" w:cstheme="minorHAnsi"/>
          <w:b/>
          <w:bCs/>
        </w:rPr>
        <w:t>Contratada</w:t>
      </w:r>
      <w:r w:rsidRPr="00617E05">
        <w:rPr>
          <w:rFonts w:ascii="Azo Sans Lt" w:hAnsi="Azo Sans Lt" w:cstheme="minorHAnsi"/>
          <w:b/>
          <w:bCs/>
        </w:rPr>
        <w:t>:</w:t>
      </w:r>
    </w:p>
    <w:p w14:paraId="1A53E6A2" w14:textId="3DDAA464" w:rsidR="00836996" w:rsidRPr="00836996" w:rsidRDefault="00831574"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 xml:space="preserve"> </w:t>
      </w:r>
      <w:r w:rsidR="00836996" w:rsidRPr="00836996">
        <w:rPr>
          <w:rFonts w:ascii="Azo Sans Lt" w:hAnsi="Azo Sans Lt" w:cstheme="minorHAnsi"/>
          <w:lang w:val="pt-BR"/>
        </w:rPr>
        <w:t>Efetuar a entrega, o transporte, a descarga, a instalação e a montagem dos itens, caso sejam entregues desmontados, em perfeitas condições,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acompanhada das certidões de regularidade fiscal citadas no item 8</w:t>
      </w:r>
      <w:r w:rsidR="00836996">
        <w:rPr>
          <w:rFonts w:ascii="Azo Sans Lt" w:hAnsi="Azo Sans Lt" w:cstheme="minorHAnsi"/>
          <w:lang w:val="pt-BR"/>
        </w:rPr>
        <w:t xml:space="preserve"> do Termo de Referência</w:t>
      </w:r>
      <w:r w:rsidR="00836996" w:rsidRPr="00836996">
        <w:rPr>
          <w:rFonts w:ascii="Azo Sans Lt" w:hAnsi="Azo Sans Lt" w:cstheme="minorHAnsi"/>
          <w:lang w:val="pt-BR"/>
        </w:rPr>
        <w:t>;</w:t>
      </w:r>
    </w:p>
    <w:p w14:paraId="2D31DA97"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Responsabilizar-se pelos vícios e danos decorrentes do objeto, de acordo com os artigos 12, 13 e 17 a 27, do Código de Defesa do Consumidor (Lei nº 8.078, de 1990);</w:t>
      </w:r>
    </w:p>
    <w:p w14:paraId="2B84D71B"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Será ainda responsável por vícios ou defeitos de fabricação, bem como desgastes anormais dos itens, suas partes e acessórios, obrigando-se ressarcir os danos e substituir os elementos defeituosos, sem ônus para a Contratante, dentro do prazo de 12 (doze) meses, no mínimo;</w:t>
      </w:r>
    </w:p>
    <w:p w14:paraId="154F6005"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O dever previsto no subitem anterior implica na obrigação de, a critério da Contratante, substituir, reparar, corrigir remover, ou reconstruir, às suas expensas, no prazo máximo de 03 (três) dias, o produto com avarias, defeitos ou em desacordo com o Termo de Referência;</w:t>
      </w:r>
    </w:p>
    <w:p w14:paraId="649266A8"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Comunicar à Contratante, com antecedência mínima de 24h (vinte e quatro) horas à data da entrega, os motivos que impossibilitem o cumprimento do prazo previsto, com a devida comprovação;</w:t>
      </w:r>
    </w:p>
    <w:p w14:paraId="44EE6BFE"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0357FC67"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Manter preposto aceito pela Procuradoria-Geral do Município para representá-la na execução do Contrato;</w:t>
      </w:r>
    </w:p>
    <w:p w14:paraId="3A43DC7C"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1C9BC866"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Responsabilizar-se pelas despesas dos tributos, encargos trabalhistas, previdenciários, fiscais, comerciais, taxas, fretes, seguros, deslocamento de pessoal, prestação de garantia e quaisquer outras que incidam ou venham a incidir na execução do contrato;</w:t>
      </w:r>
    </w:p>
    <w:p w14:paraId="4DD6B9A1" w14:textId="77777777" w:rsidR="00836996" w:rsidRPr="00836996" w:rsidRDefault="00836996" w:rsidP="00836996">
      <w:pPr>
        <w:pStyle w:val="PargrafodaLista"/>
        <w:numPr>
          <w:ilvl w:val="2"/>
          <w:numId w:val="27"/>
        </w:numPr>
        <w:tabs>
          <w:tab w:val="left" w:pos="851"/>
        </w:tabs>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Fornecer o objeto do presente Termo de Referência de acordo com as especificações nele contidas, no Edital da licitação, bem como na legislação em vigor;</w:t>
      </w:r>
    </w:p>
    <w:p w14:paraId="1EC24759"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Arcar com todo material, ferramentas e mão de obra utilizados para montagem ou instalação dos itens;</w:t>
      </w:r>
    </w:p>
    <w:p w14:paraId="5F6A552E"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Responsabilizar-se por qualquer adulteração do material a ser entregue, mesmo que ainda não se faça a análise imediata do produto na hora da entrega;</w:t>
      </w:r>
    </w:p>
    <w:p w14:paraId="3740E491" w14:textId="77777777" w:rsidR="00836996" w:rsidRPr="00836996" w:rsidRDefault="00836996" w:rsidP="00836996">
      <w:pPr>
        <w:pStyle w:val="PargrafodaLista"/>
        <w:numPr>
          <w:ilvl w:val="2"/>
          <w:numId w:val="27"/>
        </w:numPr>
        <w:autoSpaceDN/>
        <w:spacing w:before="120" w:after="120"/>
        <w:ind w:left="0" w:firstLine="0"/>
        <w:jc w:val="both"/>
        <w:rPr>
          <w:rFonts w:ascii="Azo Sans Lt" w:hAnsi="Azo Sans Lt" w:cstheme="minorHAnsi"/>
          <w:lang w:val="pt-BR"/>
        </w:rPr>
      </w:pPr>
      <w:r w:rsidRPr="00836996">
        <w:rPr>
          <w:rFonts w:ascii="Azo Sans Lt" w:hAnsi="Azo Sans Lt" w:cstheme="minorHAnsi"/>
          <w:lang w:val="pt-BR"/>
        </w:rPr>
        <w:t xml:space="preserve">Responsabilizar-se, na forma da lei, por quaisquer danos causados diretamente aos </w:t>
      </w:r>
      <w:r w:rsidRPr="00836996">
        <w:rPr>
          <w:rFonts w:ascii="Azo Sans Lt" w:hAnsi="Azo Sans Lt" w:cstheme="minorHAnsi"/>
          <w:lang w:val="pt-BR"/>
        </w:rPr>
        <w:lastRenderedPageBreak/>
        <w:t>bens do Município ou a terceiros, decorrentes de sua culpa ou dolo na execução do Contrato, não excluindo ou reduzindo essa responsabilidade em razão da existência de fiscalização da Procuradoria-Geral do Município.</w:t>
      </w:r>
    </w:p>
    <w:p w14:paraId="19243CC3" w14:textId="77777777" w:rsidR="00836996" w:rsidRPr="00836996" w:rsidRDefault="00836996" w:rsidP="00836996">
      <w:pPr>
        <w:pStyle w:val="PargrafodaLista"/>
        <w:numPr>
          <w:ilvl w:val="1"/>
          <w:numId w:val="27"/>
        </w:numPr>
        <w:ind w:left="0" w:firstLine="0"/>
        <w:rPr>
          <w:rFonts w:ascii="Azo Sans Lt" w:hAnsi="Azo Sans Lt" w:cstheme="minorHAnsi"/>
          <w:b/>
          <w:bCs/>
          <w:lang w:val="pt-BR"/>
        </w:rPr>
      </w:pPr>
      <w:r w:rsidRPr="00836996">
        <w:rPr>
          <w:rFonts w:ascii="Azo Sans Lt" w:hAnsi="Azo Sans Lt" w:cstheme="minorHAnsi"/>
          <w:b/>
          <w:bCs/>
          <w:lang w:val="pt-BR"/>
        </w:rPr>
        <w:t>Além das obrigações resultantes da aplicação da Lei n°. 8666/93 e demais normas pertinentes, são obrigações da CONTRATANTE:</w:t>
      </w:r>
    </w:p>
    <w:p w14:paraId="21F92E88" w14:textId="6FB202FA"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Fiscalizar a aquisição, através de profissional designado para este fim, recebendo o objeto no prazo e condições estabelecidas no Edital, seus anexos e n</w:t>
      </w:r>
      <w:r>
        <w:rPr>
          <w:rFonts w:ascii="Azo Sans Lt" w:hAnsi="Azo Sans Lt" w:cstheme="minorHAnsi"/>
          <w:lang w:val="pt-BR"/>
        </w:rPr>
        <w:t xml:space="preserve">o </w:t>
      </w:r>
      <w:r w:rsidRPr="00836996">
        <w:rPr>
          <w:rFonts w:ascii="Azo Sans Lt" w:hAnsi="Azo Sans Lt" w:cstheme="minorHAnsi"/>
          <w:lang w:val="pt-BR"/>
        </w:rPr>
        <w:t>Termo de Referência;</w:t>
      </w:r>
    </w:p>
    <w:p w14:paraId="58EAC20D"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Verificar minuciosamente, no prazo fixado, a conformidade dos bens recebidos provisoriamente com as especificações constantes do Edital e da proposta, para fins de aceitação e recebimento definitivo;</w:t>
      </w:r>
    </w:p>
    <w:p w14:paraId="035C3CB6"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Atestar as notas fiscais da CONTRATADA oriundas da aquisição;</w:t>
      </w:r>
    </w:p>
    <w:p w14:paraId="655680E9" w14:textId="5BA1FF1A"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 xml:space="preserve"> Prestar as informações e os devidos esclarecimentos que venham a ser solicitados pela CONTRATADA;</w:t>
      </w:r>
    </w:p>
    <w:p w14:paraId="009D137B"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Aplicar as penalidades constantes no item da Sanções Administrativas do presente Termo de Referência, bem como instrumento editalício e Lei nº 8.666/93, em caso de descumprimento de qualquer obrigação por parte da CONTRATADA;</w:t>
      </w:r>
    </w:p>
    <w:p w14:paraId="33A0FD61"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Comunicar à Contratada, por escrito, sobre imperfeições, falhas ou irregularidades verificadas no objeto fornecido, para que seja substituído, reparado ou corrigido;</w:t>
      </w:r>
    </w:p>
    <w:p w14:paraId="2AB24AB6"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Acompanhar e fiscalizar o cumprimento das obrigações da Contratada, através de servidores especialmente designados;</w:t>
      </w:r>
    </w:p>
    <w:p w14:paraId="49928A76"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Efetuar o pagamento à Contratada no valor correspondente ao fornecimento do objeto, no prazo e forma estabelecidos no Edital e seus anexos;</w:t>
      </w:r>
    </w:p>
    <w:p w14:paraId="672915E2" w14:textId="77777777" w:rsidR="00836996" w:rsidRPr="00836996" w:rsidRDefault="00836996" w:rsidP="00836996">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36996">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742EA88C" w14:textId="4A2ADB3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7270C7">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641B2321" w14:textId="1BFCF86A" w:rsidR="009162EB" w:rsidRDefault="00836996"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36996">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nº 8.666/93</w:t>
      </w:r>
      <w:r>
        <w:rPr>
          <w:rFonts w:ascii="Azo Sans Lt" w:hAnsi="Azo Sans Lt" w:cstheme="minorHAnsi"/>
          <w:bCs/>
          <w:iCs/>
        </w:rPr>
        <w:t>.</w:t>
      </w:r>
    </w:p>
    <w:p w14:paraId="125A28A0" w14:textId="77777777" w:rsidR="00836996" w:rsidRPr="00836996" w:rsidRDefault="00836996" w:rsidP="00836996">
      <w:pPr>
        <w:pStyle w:val="PargrafodaLista"/>
        <w:numPr>
          <w:ilvl w:val="1"/>
          <w:numId w:val="27"/>
        </w:numPr>
        <w:rPr>
          <w:rFonts w:ascii="Azo Sans Lt" w:hAnsi="Azo Sans Lt" w:cstheme="minorHAnsi"/>
          <w:bCs/>
          <w:iCs/>
        </w:rPr>
      </w:pPr>
      <w:r w:rsidRPr="00836996">
        <w:rPr>
          <w:rFonts w:ascii="Azo Sans Lt" w:hAnsi="Azo Sans Lt" w:cstheme="minorHAnsi"/>
          <w:bCs/>
          <w:iCs/>
        </w:rPr>
        <w:t>Comete infração administrativa a contratada que:</w:t>
      </w:r>
    </w:p>
    <w:p w14:paraId="48258AE4" w14:textId="5BF6FBC8" w:rsidR="00E27B1B" w:rsidRPr="00E27B1B" w:rsidRDefault="00EA2278"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A2278">
        <w:rPr>
          <w:rFonts w:ascii="Azo Sans Lt" w:hAnsi="Azo Sans Lt" w:cstheme="minorHAnsi"/>
          <w:lang w:val="pt-BR"/>
        </w:rPr>
        <w:t>Não assinar o termo de contrato ou aceitar/retirar o instrumento equivalente, quando convocado dentro do prazo de validade da proposta</w:t>
      </w:r>
      <w:r w:rsidR="00E27B1B" w:rsidRPr="00E27B1B">
        <w:rPr>
          <w:rFonts w:ascii="Azo Sans Lt" w:hAnsi="Azo Sans Lt" w:cstheme="minorHAnsi"/>
          <w:lang w:val="pt-BR"/>
        </w:rPr>
        <w:t>;</w:t>
      </w:r>
    </w:p>
    <w:p w14:paraId="634E2026" w14:textId="10FDDA08"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Apresentar documentação falsa</w:t>
      </w:r>
      <w:r w:rsidR="00E27B1B" w:rsidRPr="00E27B1B">
        <w:rPr>
          <w:rFonts w:ascii="Azo Sans Lt" w:hAnsi="Azo Sans Lt" w:cstheme="minorHAnsi"/>
          <w:lang w:val="pt-BR"/>
        </w:rPr>
        <w:t>;</w:t>
      </w:r>
    </w:p>
    <w:p w14:paraId="47342B0B" w14:textId="6547E742"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Deixar de entregar os documentos exigidos no certame;</w:t>
      </w:r>
    </w:p>
    <w:p w14:paraId="37642BA6" w14:textId="416CC470"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Ensejar o retardamento da execução do objeto</w:t>
      </w:r>
      <w:r w:rsidR="00E27B1B" w:rsidRPr="00E27B1B">
        <w:rPr>
          <w:rFonts w:ascii="Azo Sans Lt" w:hAnsi="Azo Sans Lt" w:cstheme="minorHAnsi"/>
          <w:lang w:val="pt-BR"/>
        </w:rPr>
        <w:t>;</w:t>
      </w:r>
    </w:p>
    <w:p w14:paraId="18EB534D"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182D3D4" w14:textId="2F3BFB88" w:rsidR="00A66675" w:rsidRPr="00A66675" w:rsidRDefault="00945157" w:rsidP="00A666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lastRenderedPageBreak/>
        <w:t xml:space="preserve"> </w:t>
      </w:r>
      <w:r w:rsidR="00A66675" w:rsidRPr="00A66675">
        <w:rPr>
          <w:rFonts w:ascii="Azo Sans Lt" w:hAnsi="Azo Sans Lt" w:cstheme="minorHAnsi"/>
          <w:bCs/>
          <w:iCs/>
          <w:lang w:val="pt-BR"/>
        </w:rPr>
        <w:tab/>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116E84A6" w14:textId="77777777" w:rsidR="004113C0" w:rsidRPr="004113C0" w:rsidRDefault="00A66675" w:rsidP="004113C0">
      <w:pPr>
        <w:pStyle w:val="PargrafodaLista"/>
        <w:numPr>
          <w:ilvl w:val="1"/>
          <w:numId w:val="27"/>
        </w:numPr>
        <w:tabs>
          <w:tab w:val="left" w:pos="426"/>
        </w:tabs>
        <w:spacing w:before="120" w:after="120" w:line="276" w:lineRule="auto"/>
        <w:ind w:left="0" w:firstLine="0"/>
        <w:jc w:val="both"/>
        <w:rPr>
          <w:rFonts w:ascii="Azo Sans Lt" w:hAnsi="Azo Sans Lt" w:cstheme="minorHAnsi"/>
          <w:bCs/>
          <w:iCs/>
        </w:rPr>
      </w:pPr>
      <w:r w:rsidRPr="00A66675">
        <w:rPr>
          <w:rFonts w:ascii="Azo Sans Lt" w:hAnsi="Azo Sans Lt" w:cstheme="minorHAnsi"/>
          <w:bCs/>
          <w:iCs/>
          <w:lang w:val="pt-BR"/>
        </w:rPr>
        <w:tab/>
      </w:r>
      <w:r w:rsidR="004113C0" w:rsidRPr="004113C0">
        <w:rPr>
          <w:rFonts w:ascii="Azo Sans Lt" w:hAnsi="Azo Sans Lt" w:cstheme="minorHAnsi"/>
          <w:bCs/>
          <w:iCs/>
        </w:rPr>
        <w:t>Pela inexecução total ou parcial do contrato a Administração poderá, garantida a prévia defesa, aplicar à empresa, observando a gravidade das faltas cometidas, as seguintes sanções:</w:t>
      </w:r>
    </w:p>
    <w:p w14:paraId="551DF499" w14:textId="3AEEF7D7" w:rsidR="00A66675" w:rsidRPr="00A66675" w:rsidRDefault="00A66675" w:rsidP="00A66675">
      <w:pPr>
        <w:widowControl/>
        <w:numPr>
          <w:ilvl w:val="2"/>
          <w:numId w:val="27"/>
        </w:numPr>
        <w:autoSpaceDE/>
        <w:autoSpaceDN/>
        <w:spacing w:before="120" w:after="120"/>
        <w:ind w:left="0" w:firstLine="0"/>
        <w:rPr>
          <w:rFonts w:ascii="Azo Sans Lt" w:hAnsi="Azo Sans Lt" w:cstheme="minorHAnsi"/>
          <w:lang w:val="pt-BR"/>
        </w:rPr>
      </w:pPr>
      <w:r w:rsidRPr="00A66675">
        <w:rPr>
          <w:rFonts w:ascii="Azo Sans Lt" w:hAnsi="Azo Sans Lt" w:cstheme="minorHAnsi"/>
          <w:lang w:val="pt-BR"/>
        </w:rPr>
        <w:t xml:space="preserve">Advertência; </w:t>
      </w:r>
    </w:p>
    <w:p w14:paraId="460910D9" w14:textId="77777777" w:rsidR="004113C0" w:rsidRDefault="00A66675" w:rsidP="00A66675">
      <w:pPr>
        <w:widowControl/>
        <w:numPr>
          <w:ilvl w:val="2"/>
          <w:numId w:val="27"/>
        </w:numPr>
        <w:autoSpaceDE/>
        <w:autoSpaceDN/>
        <w:spacing w:before="120" w:after="120"/>
        <w:ind w:left="0" w:firstLine="0"/>
        <w:jc w:val="both"/>
        <w:rPr>
          <w:rFonts w:ascii="Azo Sans Lt" w:hAnsi="Azo Sans Lt" w:cstheme="minorHAnsi"/>
          <w:lang w:val="pt-BR"/>
        </w:rPr>
      </w:pPr>
      <w:r w:rsidRPr="00A66675">
        <w:rPr>
          <w:rFonts w:ascii="Azo Sans Lt" w:hAnsi="Azo Sans Lt" w:cstheme="minorHAnsi"/>
          <w:lang w:val="pt-BR"/>
        </w:rPr>
        <w:t>Multa</w:t>
      </w:r>
      <w:r w:rsidR="004113C0">
        <w:rPr>
          <w:rFonts w:ascii="Azo Sans Lt" w:hAnsi="Azo Sans Lt" w:cstheme="minorHAnsi"/>
          <w:lang w:val="pt-BR"/>
        </w:rPr>
        <w:t>:</w:t>
      </w:r>
    </w:p>
    <w:p w14:paraId="46D8AFA2" w14:textId="77777777" w:rsidR="00402ABC" w:rsidRPr="00402ABC" w:rsidRDefault="00402ABC" w:rsidP="00402ABC">
      <w:pPr>
        <w:pStyle w:val="PargrafodaLista"/>
        <w:widowControl/>
        <w:numPr>
          <w:ilvl w:val="3"/>
          <w:numId w:val="27"/>
        </w:numPr>
        <w:tabs>
          <w:tab w:val="left" w:pos="993"/>
        </w:tabs>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22319C13" w14:textId="5D80297E" w:rsidR="00402ABC" w:rsidRPr="00402ABC" w:rsidRDefault="00402ABC" w:rsidP="00402ABC">
      <w:pPr>
        <w:pStyle w:val="PargrafodaLista"/>
        <w:widowControl/>
        <w:numPr>
          <w:ilvl w:val="3"/>
          <w:numId w:val="27"/>
        </w:numPr>
        <w:tabs>
          <w:tab w:val="left" w:pos="993"/>
        </w:tabs>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 xml:space="preserve"> moratória no percentual correspondente a 0,5% (meio por cento), calculada sobre o valor total do contrato, por dia de inadimplência, até o limite máximo de 10% (dez por cento), ou seja, por 20 (vinte) dias, o que poderá ensejar a rescisão do contrato;</w:t>
      </w:r>
    </w:p>
    <w:p w14:paraId="643D3E73" w14:textId="77777777" w:rsidR="00402ABC" w:rsidRPr="00402ABC" w:rsidRDefault="00402ABC" w:rsidP="00402ABC">
      <w:pPr>
        <w:pStyle w:val="PargrafodaLista"/>
        <w:widowControl/>
        <w:numPr>
          <w:ilvl w:val="3"/>
          <w:numId w:val="27"/>
        </w:numPr>
        <w:tabs>
          <w:tab w:val="left" w:pos="993"/>
        </w:tabs>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moratória no percentual de 10% (dez por cento), calculada sobre o valor total da contratação, pela inadimplência além do prazo acima, o que poderá ensejar a rescisão do contrato;</w:t>
      </w:r>
    </w:p>
    <w:p w14:paraId="1C919F71" w14:textId="77777777" w:rsidR="00402ABC" w:rsidRPr="00402ABC" w:rsidRDefault="00402ABC" w:rsidP="00402ABC">
      <w:pPr>
        <w:pStyle w:val="PargrafodaLista"/>
        <w:widowControl/>
        <w:numPr>
          <w:ilvl w:val="3"/>
          <w:numId w:val="27"/>
        </w:numPr>
        <w:tabs>
          <w:tab w:val="left" w:pos="993"/>
        </w:tabs>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Suspensão temporária de participação em licitação e impedimento de contratar com a Administração, por prazo não superior a 2 (dois) anos;</w:t>
      </w:r>
    </w:p>
    <w:p w14:paraId="199E677A" w14:textId="77777777" w:rsidR="00402ABC" w:rsidRPr="00402ABC" w:rsidRDefault="00402ABC" w:rsidP="00402ABC">
      <w:pPr>
        <w:pStyle w:val="PargrafodaLista"/>
        <w:widowControl/>
        <w:numPr>
          <w:ilvl w:val="3"/>
          <w:numId w:val="27"/>
        </w:numPr>
        <w:tabs>
          <w:tab w:val="left" w:pos="993"/>
        </w:tabs>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0C922D3" w14:textId="77777777" w:rsidR="00402ABC" w:rsidRPr="00402ABC" w:rsidRDefault="00402ABC" w:rsidP="00402ABC">
      <w:pPr>
        <w:widowControl/>
        <w:numPr>
          <w:ilvl w:val="1"/>
          <w:numId w:val="27"/>
        </w:numPr>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02A64947" w14:textId="77777777" w:rsidR="00402ABC" w:rsidRPr="00402ABC" w:rsidRDefault="00402ABC" w:rsidP="00402ABC">
      <w:pPr>
        <w:widowControl/>
        <w:numPr>
          <w:ilvl w:val="1"/>
          <w:numId w:val="27"/>
        </w:numPr>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As sanções de advertência, de suspensão temporária de participação em licitação e impedimento de contratar com a Administração e de declaração de inidoneidade para licitar ou contratar com a Administração Pública poderão ser aplicadas juntamente com a sanção de multa, facultada a defesa prévia do interessado, no respectivo processo, no prazo de 5 (cinco) dias úteis;</w:t>
      </w:r>
    </w:p>
    <w:p w14:paraId="37A2A3BE" w14:textId="77777777" w:rsidR="00402ABC" w:rsidRPr="00402ABC" w:rsidRDefault="00402ABC" w:rsidP="00402ABC">
      <w:pPr>
        <w:widowControl/>
        <w:numPr>
          <w:ilvl w:val="1"/>
          <w:numId w:val="27"/>
        </w:numPr>
        <w:autoSpaceDE/>
        <w:autoSpaceDN/>
        <w:spacing w:before="120" w:after="120"/>
        <w:ind w:left="0" w:firstLine="0"/>
        <w:jc w:val="both"/>
        <w:rPr>
          <w:rFonts w:ascii="Azo Sans Lt" w:hAnsi="Azo Sans Lt" w:cstheme="minorHAnsi"/>
          <w:lang w:val="pt-BR"/>
        </w:rPr>
      </w:pPr>
      <w:r w:rsidRPr="00402ABC">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6850E15A" w:rsidR="00763341" w:rsidRPr="00402ABC" w:rsidRDefault="00402ABC" w:rsidP="00BE3C4E">
      <w:pPr>
        <w:widowControl/>
        <w:numPr>
          <w:ilvl w:val="0"/>
          <w:numId w:val="27"/>
        </w:numPr>
        <w:autoSpaceDE/>
        <w:autoSpaceDN/>
        <w:spacing w:before="120" w:after="120"/>
        <w:jc w:val="both"/>
        <w:rPr>
          <w:rFonts w:ascii="Azo Sans Lt" w:hAnsi="Azo Sans Lt" w:cstheme="minorHAnsi"/>
        </w:rPr>
      </w:pPr>
      <w:r w:rsidRPr="00402ABC">
        <w:rPr>
          <w:rFonts w:ascii="Azo Sans Lt" w:hAnsi="Azo Sans Lt" w:cstheme="minorHAnsi"/>
          <w:lang w:val="pt-BR"/>
        </w:rPr>
        <w:t xml:space="preserve"> </w:t>
      </w:r>
      <w:r w:rsidR="00763341" w:rsidRPr="00402ABC">
        <w:rPr>
          <w:rFonts w:ascii="Azo Sans Lt" w:hAnsi="Azo Sans Lt" w:cstheme="minorHAnsi"/>
        </w:rPr>
        <w:t xml:space="preserve">- </w:t>
      </w:r>
      <w:r w:rsidR="001D32DF" w:rsidRPr="00402ABC">
        <w:rPr>
          <w:rFonts w:ascii="Azo Sans Lt" w:hAnsi="Azo Sans Lt" w:cstheme="minorHAnsi"/>
        </w:rPr>
        <w:t>CLÁUSULA DÉCIMA SEGUNDA – RESCISÃO</w:t>
      </w:r>
    </w:p>
    <w:p w14:paraId="3F538DD6" w14:textId="44B776B3" w:rsidR="00945157" w:rsidRPr="00945157" w:rsidRDefault="00C25167" w:rsidP="00945157">
      <w:pPr>
        <w:widowControl/>
        <w:numPr>
          <w:ilvl w:val="1"/>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O inadimplemento de cláusula estabelecida n</w:t>
      </w:r>
      <w:r w:rsidR="001514DC">
        <w:rPr>
          <w:rFonts w:ascii="Azo Sans Lt" w:hAnsi="Azo Sans Lt" w:cstheme="minorHAnsi"/>
          <w:lang w:val="pt-BR"/>
        </w:rPr>
        <w:t>o</w:t>
      </w:r>
      <w:r w:rsidRPr="00C25167">
        <w:rPr>
          <w:rFonts w:ascii="Azo Sans Lt" w:hAnsi="Azo Sans Lt" w:cstheme="minorHAnsi"/>
          <w:lang w:val="pt-BR"/>
        </w:rPr>
        <w:t xml:space="preserve"> Termo de Referência, bem como na legislação vigente, por parte do fornecedor, assegurará a Secretaria Municipal de Saúde de Nova Friburgo o direito de rescindi-la, mediante notificação, com prova de recebimento</w:t>
      </w:r>
      <w:r w:rsidR="00945157" w:rsidRPr="00945157">
        <w:rPr>
          <w:rFonts w:ascii="Azo Sans Lt" w:hAnsi="Azo Sans Lt" w:cstheme="minorHAnsi"/>
        </w:rPr>
        <w:t>.</w:t>
      </w:r>
    </w:p>
    <w:p w14:paraId="77454197" w14:textId="4ED04A50" w:rsidR="00945157" w:rsidRDefault="00C25167" w:rsidP="00945157">
      <w:pPr>
        <w:widowControl/>
        <w:numPr>
          <w:ilvl w:val="1"/>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Além de outras hipóteses expressamente previstas no artigo 78 da Lei nº. 8.666/1993 constituem motivos para a rescisão do contrato</w:t>
      </w:r>
      <w:r w:rsidR="00945157">
        <w:rPr>
          <w:rFonts w:ascii="Azo Sans Lt" w:hAnsi="Azo Sans Lt" w:cstheme="minorHAnsi"/>
        </w:rPr>
        <w:t>:</w:t>
      </w:r>
    </w:p>
    <w:p w14:paraId="55FB5723" w14:textId="053FB789" w:rsidR="00945157" w:rsidRPr="00945157" w:rsidRDefault="00C25167" w:rsidP="00945157">
      <w:pPr>
        <w:widowControl/>
        <w:numPr>
          <w:ilvl w:val="2"/>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lastRenderedPageBreak/>
        <w:t>Atraso injustificado na prestação dos serviços, bem como a sua paralisação sem justa causa e prévia comunicação a Secretaria Municipal de Saúde</w:t>
      </w:r>
      <w:r w:rsidR="00945157" w:rsidRPr="00945157">
        <w:rPr>
          <w:rFonts w:ascii="Azo Sans Lt" w:hAnsi="Azo Sans Lt" w:cstheme="minorHAnsi"/>
        </w:rPr>
        <w:t>.</w:t>
      </w:r>
    </w:p>
    <w:p w14:paraId="3473CD03" w14:textId="7A51C315" w:rsidR="00945157" w:rsidRDefault="00C25167" w:rsidP="00945157">
      <w:pPr>
        <w:widowControl/>
        <w:numPr>
          <w:ilvl w:val="2"/>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O cometimento reiterado de falhas, comprovadas por meio de registro próprio efetuado pelo representante da Secretaria Municipal de Saúde</w:t>
      </w:r>
      <w:r w:rsidR="00945157">
        <w:rPr>
          <w:rFonts w:ascii="Azo Sans Lt" w:hAnsi="Azo Sans Lt" w:cstheme="minorHAnsi"/>
        </w:rPr>
        <w:t>.</w:t>
      </w:r>
    </w:p>
    <w:p w14:paraId="2DB5E5E8" w14:textId="3294A905" w:rsidR="00C25167" w:rsidRPr="00C25167" w:rsidRDefault="00C25167" w:rsidP="00C25167">
      <w:pPr>
        <w:widowControl/>
        <w:numPr>
          <w:ilvl w:val="1"/>
          <w:numId w:val="27"/>
        </w:numPr>
        <w:autoSpaceDE/>
        <w:autoSpaceDN/>
        <w:spacing w:before="120" w:after="120"/>
        <w:ind w:left="0" w:firstLine="0"/>
        <w:jc w:val="both"/>
        <w:rPr>
          <w:rFonts w:ascii="Azo Sans Lt" w:hAnsi="Azo Sans Lt" w:cstheme="minorHAnsi"/>
          <w:lang w:val="pt-BR"/>
        </w:rPr>
      </w:pPr>
      <w:r w:rsidRPr="00C25167">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Pr>
          <w:rFonts w:ascii="Azo Sans Lt" w:hAnsi="Azo Sans Lt" w:cstheme="minorHAnsi"/>
          <w:lang w:val="pt-BR"/>
        </w:rPr>
        <w:t>.</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4A0FDA7" w14:textId="6B792C69" w:rsidR="007270C7" w:rsidRDefault="00F54BD2" w:rsidP="007270C7">
      <w:pPr>
        <w:widowControl/>
        <w:numPr>
          <w:ilvl w:val="1"/>
          <w:numId w:val="27"/>
        </w:numPr>
        <w:autoSpaceDE/>
        <w:autoSpaceDN/>
        <w:spacing w:before="120" w:after="120"/>
        <w:ind w:left="0" w:firstLine="0"/>
        <w:jc w:val="both"/>
        <w:rPr>
          <w:rFonts w:ascii="Azo Sans Lt" w:hAnsi="Azo Sans Lt" w:cstheme="minorHAnsi"/>
        </w:rPr>
      </w:pPr>
      <w:bookmarkStart w:id="5" w:name="_Hlk102642670"/>
      <w:r w:rsidRPr="00F54BD2">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r w:rsidR="007270C7" w:rsidRPr="007270C7">
        <w:rPr>
          <w:rFonts w:ascii="Azo Sans Lt" w:hAnsi="Azo Sans Lt" w:cstheme="minorHAnsi"/>
        </w:rPr>
        <w:t>.</w:t>
      </w:r>
    </w:p>
    <w:p w14:paraId="241907FF" w14:textId="4F6BC9DC" w:rsidR="00945157" w:rsidRPr="00945157" w:rsidRDefault="00945157" w:rsidP="00945157">
      <w:pPr>
        <w:pStyle w:val="PargrafodaLista"/>
        <w:numPr>
          <w:ilvl w:val="0"/>
          <w:numId w:val="27"/>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CLÁUSULA DÉCIMA QUINTA - </w:t>
      </w:r>
      <w:r w:rsidR="00A66675">
        <w:rPr>
          <w:rFonts w:ascii="Azo Sans Lt" w:eastAsiaTheme="majorEastAsia" w:hAnsi="Azo Sans Lt" w:cstheme="minorHAnsi"/>
          <w:b/>
          <w:bCs/>
          <w:lang w:val="pt-BR" w:eastAsia="pt-BR"/>
        </w:rPr>
        <w:t xml:space="preserve"> </w:t>
      </w:r>
      <w:r w:rsidR="00A66675" w:rsidRPr="00A66675">
        <w:rPr>
          <w:rFonts w:ascii="Azo Sans Lt" w:eastAsiaTheme="majorEastAsia" w:hAnsi="Azo Sans Lt" w:cstheme="minorHAnsi"/>
          <w:b/>
          <w:bCs/>
          <w:lang w:val="pt-BR" w:eastAsia="pt-BR"/>
        </w:rPr>
        <w:t>GARANTIA</w:t>
      </w:r>
    </w:p>
    <w:p w14:paraId="62C469BB" w14:textId="70F4498C" w:rsidR="00945157" w:rsidRPr="00945157" w:rsidRDefault="00A66675" w:rsidP="00945157">
      <w:pPr>
        <w:widowControl/>
        <w:numPr>
          <w:ilvl w:val="1"/>
          <w:numId w:val="27"/>
        </w:numPr>
        <w:autoSpaceDE/>
        <w:autoSpaceDN/>
        <w:spacing w:before="120" w:after="120"/>
        <w:ind w:left="0" w:firstLine="0"/>
        <w:jc w:val="both"/>
        <w:rPr>
          <w:rFonts w:ascii="Azo Sans Lt" w:hAnsi="Azo Sans Lt" w:cstheme="minorHAnsi"/>
          <w:lang w:val="pt-BR"/>
        </w:rPr>
      </w:pPr>
      <w:r w:rsidRPr="00A66675">
        <w:rPr>
          <w:rFonts w:ascii="Azo Sans Lt" w:hAnsi="Azo Sans Lt" w:cstheme="minorHAnsi"/>
          <w:bCs/>
          <w:lang w:val="pt-BR"/>
        </w:rPr>
        <w:t>Declarar, detalhadamente, a garantia dos itens fornecidos, cujo prazo não poderá ser inferior a 12 (doze) meses, contados a partir do recebimento definitivo.</w:t>
      </w:r>
      <w:r>
        <w:rPr>
          <w:rFonts w:ascii="Azo Sans Lt" w:hAnsi="Azo Sans Lt" w:cstheme="minorHAnsi"/>
          <w:lang w:val="pt-BR"/>
        </w:rPr>
        <w:t xml:space="preserve"> </w:t>
      </w:r>
    </w:p>
    <w:p w14:paraId="49EC4A23" w14:textId="49B9DED3"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945157">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0B4876E3" w:rsidR="00837319" w:rsidRDefault="00F54BD2"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F54BD2">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C666F">
        <w:rPr>
          <w:rFonts w:ascii="Azo Sans Lt" w:hAnsi="Azo Sans Lt" w:cstheme="minorHAnsi"/>
        </w:rPr>
        <w:t>.</w:t>
      </w:r>
    </w:p>
    <w:p w14:paraId="2AA8FD78" w14:textId="4C09267F"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945157">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6919318"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6" w:name="_Hlk102642787"/>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6"/>
      <w:r w:rsidR="001D32DF" w:rsidRPr="0075018C">
        <w:rPr>
          <w:rFonts w:ascii="Azo Sans Lt" w:hAnsi="Azo Sans Lt" w:cstheme="minorHAnsi"/>
          <w:sz w:val="22"/>
          <w:szCs w:val="22"/>
        </w:rPr>
        <w:t>– ALTERAÇÕES</w:t>
      </w:r>
    </w:p>
    <w:bookmarkEnd w:id="5"/>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0E72E5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D37308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7" w:name="_Hlk102642866"/>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VIGÉSIMA</w:t>
      </w:r>
      <w:r w:rsidR="001D32DF" w:rsidRPr="0075018C">
        <w:rPr>
          <w:rFonts w:ascii="Azo Sans Lt" w:hAnsi="Azo Sans Lt" w:cstheme="minorHAnsi"/>
          <w:sz w:val="22"/>
          <w:szCs w:val="22"/>
        </w:rPr>
        <w:t>– PUBLICAÇÃO</w:t>
      </w:r>
      <w:bookmarkEnd w:id="7"/>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065141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945157">
        <w:rPr>
          <w:rFonts w:ascii="Azo Sans Lt" w:hAnsi="Azo Sans Lt" w:cstheme="minorHAnsi"/>
          <w:sz w:val="22"/>
          <w:szCs w:val="22"/>
        </w:rPr>
        <w:t xml:space="preserve">PRIMEIRA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26368875" w14:textId="5B5BB331" w:rsidR="000F2826"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67F63378" w14:textId="77777777" w:rsidR="000D3406" w:rsidRDefault="000D340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5E18F1B2" w14:textId="7A8B6C22" w:rsidR="00A75B6C" w:rsidRDefault="001D32DF" w:rsidP="000C2889">
      <w:pPr>
        <w:spacing w:after="120"/>
        <w:jc w:val="center"/>
        <w:rPr>
          <w:rFonts w:ascii="Azo Sans Lt" w:hAnsi="Azo Sans Lt" w:cstheme="minorHAnsi"/>
          <w:bCs/>
        </w:rPr>
      </w:pPr>
      <w:r w:rsidRPr="0075018C">
        <w:rPr>
          <w:rFonts w:ascii="Azo Sans Lt" w:hAnsi="Azo Sans Lt" w:cstheme="minorHAnsi"/>
          <w:bCs/>
        </w:rPr>
        <w:t>Responsável legal da CONTRATANTE</w:t>
      </w:r>
    </w:p>
    <w:p w14:paraId="51C05A79" w14:textId="77777777" w:rsidR="000D3406" w:rsidRPr="0075018C" w:rsidRDefault="000D3406" w:rsidP="000C2889">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276C61F" w14:textId="79CAD0AE"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9F2F85">
      <w:headerReference w:type="even" r:id="rId9"/>
      <w:headerReference w:type="default" r:id="rId10"/>
      <w:footerReference w:type="even" r:id="rId11"/>
      <w:footerReference w:type="default" r:id="rId12"/>
      <w:headerReference w:type="first" r:id="rId13"/>
      <w:footerReference w:type="first" r:id="rId14"/>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BDAA" w14:textId="77777777" w:rsidR="00676BC2" w:rsidRDefault="00676BC2">
      <w:r>
        <w:separator/>
      </w:r>
    </w:p>
  </w:endnote>
  <w:endnote w:type="continuationSeparator" w:id="0">
    <w:p w14:paraId="09AB9927" w14:textId="77777777" w:rsidR="00676BC2" w:rsidRDefault="0067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02BF" w14:textId="77777777" w:rsidR="00A170AE" w:rsidRDefault="00A170A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368151C0"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A170AE" w:rsidRPr="00812616">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1580" w14:textId="77777777" w:rsidR="00A170AE" w:rsidRDefault="00A170A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D9AA4" w14:textId="77777777" w:rsidR="00676BC2" w:rsidRDefault="00676BC2">
      <w:r>
        <w:separator/>
      </w:r>
    </w:p>
  </w:footnote>
  <w:footnote w:type="continuationSeparator" w:id="0">
    <w:p w14:paraId="678B5544" w14:textId="77777777" w:rsidR="00676BC2" w:rsidRDefault="00676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C622" w14:textId="77777777" w:rsidR="00A170AE" w:rsidRDefault="00A170A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498A" w14:textId="4376C38A" w:rsidR="00043FA7" w:rsidRPr="00043FA7" w:rsidRDefault="00D97AF0" w:rsidP="00043FA7">
    <w:pPr>
      <w:pStyle w:val="Cabealho"/>
    </w:pPr>
    <w:r w:rsidRPr="00E572CF">
      <w:rPr>
        <w:rFonts w:ascii="Bookman Old Style" w:hAnsi="Bookman Old Style" w:cs="Bookman Old Style"/>
        <w:noProof/>
        <w:lang w:val="pt-BR"/>
      </w:rPr>
      <w:drawing>
        <wp:anchor distT="0" distB="0" distL="114300" distR="114300" simplePos="0" relativeHeight="251661312" behindDoc="0" locked="0" layoutInCell="1" allowOverlap="1" wp14:anchorId="2C9CF2E2" wp14:editId="172F943B">
          <wp:simplePos x="0" y="0"/>
          <wp:positionH relativeFrom="column">
            <wp:posOffset>-175565</wp:posOffset>
          </wp:positionH>
          <wp:positionV relativeFrom="paragraph">
            <wp:posOffset>46507</wp:posOffset>
          </wp:positionV>
          <wp:extent cx="4184015" cy="782320"/>
          <wp:effectExtent l="0" t="0" r="0" b="0"/>
          <wp:wrapTopAndBottom/>
          <wp:docPr id="223" name="image1.png" descr="Interface gráfica do usuário, Texto&#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1.png" descr="Interface gráfica do usuário, Texto&#10;&#10;Descrição gerada automaticamente"/>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4184015" cy="782320"/>
                  </a:xfrm>
                  <a:prstGeom prst="rect">
                    <a:avLst/>
                  </a:prstGeom>
                  <a:ln/>
                </pic:spPr>
              </pic:pic>
            </a:graphicData>
          </a:graphic>
          <wp14:sizeRelH relativeFrom="margin">
            <wp14:pctWidth>0</wp14:pctWidth>
          </wp14:sizeRelH>
          <wp14:sizeRelV relativeFrom="margin">
            <wp14:pctHeight>0</wp14:pctHeight>
          </wp14:sizeRelV>
        </wp:anchor>
      </w:drawing>
    </w:r>
    <w:r w:rsidR="002351F6">
      <w:rPr>
        <w:noProof/>
      </w:rPr>
      <mc:AlternateContent>
        <mc:Choice Requires="wps">
          <w:drawing>
            <wp:anchor distT="0" distB="0" distL="0" distR="0" simplePos="0" relativeHeight="251659264" behindDoc="1" locked="0" layoutInCell="1" allowOverlap="1" wp14:anchorId="1023FA7D" wp14:editId="1992F2D5">
              <wp:simplePos x="0" y="0"/>
              <wp:positionH relativeFrom="column">
                <wp:posOffset>3909695</wp:posOffset>
              </wp:positionH>
              <wp:positionV relativeFrom="paragraph">
                <wp:posOffset>133350</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1D32570A" w:rsidR="00043FA7" w:rsidRDefault="00043FA7" w:rsidP="00043FA7">
                          <w:pPr>
                            <w:pStyle w:val="SemEspaamento"/>
                            <w:rPr>
                              <w:rFonts w:cs="Calibri"/>
                              <w:sz w:val="20"/>
                              <w:szCs w:val="20"/>
                            </w:rPr>
                          </w:pPr>
                          <w:r>
                            <w:rPr>
                              <w:rFonts w:cs="Calibri"/>
                              <w:sz w:val="20"/>
                              <w:szCs w:val="20"/>
                            </w:rPr>
                            <w:t xml:space="preserve">PROCESSO Nº: </w:t>
                          </w:r>
                          <w:r w:rsidR="00D97AF0">
                            <w:rPr>
                              <w:rFonts w:cs="Calibri"/>
                              <w:sz w:val="20"/>
                              <w:szCs w:val="20"/>
                            </w:rPr>
                            <w:t>32.785/2022</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0.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" strokeweight=".26mm">
              <v:stroke joinstyle="round"/>
              <v:path arrowok="t"/>
              <v:textbox>
                <w:txbxContent>
                  <w:p w14:paraId="6F346666" w14:textId="1D32570A" w:rsidR="00043FA7" w:rsidRDefault="00043FA7" w:rsidP="00043FA7">
                    <w:pPr>
                      <w:pStyle w:val="SemEspaamento"/>
                      <w:rPr>
                        <w:rFonts w:cs="Calibri"/>
                        <w:sz w:val="20"/>
                        <w:szCs w:val="20"/>
                      </w:rPr>
                    </w:pPr>
                    <w:r>
                      <w:rPr>
                        <w:rFonts w:cs="Calibri"/>
                        <w:sz w:val="20"/>
                        <w:szCs w:val="20"/>
                      </w:rPr>
                      <w:t xml:space="preserve">PROCESSO Nº: </w:t>
                    </w:r>
                    <w:r w:rsidR="00D97AF0">
                      <w:rPr>
                        <w:rFonts w:cs="Calibri"/>
                        <w:sz w:val="20"/>
                        <w:szCs w:val="20"/>
                      </w:rPr>
                      <w:t>32.785/2022</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A2F1A" w14:textId="77777777" w:rsidR="00A170AE" w:rsidRDefault="00A170A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AEA5401"/>
    <w:multiLevelType w:val="multilevel"/>
    <w:tmpl w:val="067E7522"/>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5586680"/>
    <w:multiLevelType w:val="multilevel"/>
    <w:tmpl w:val="0704726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3D1B38"/>
    <w:multiLevelType w:val="hybridMultilevel"/>
    <w:tmpl w:val="E75AF66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83D1BF1"/>
    <w:multiLevelType w:val="multilevel"/>
    <w:tmpl w:val="2D0EE5D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AB41655"/>
    <w:multiLevelType w:val="multilevel"/>
    <w:tmpl w:val="2D44FB62"/>
    <w:lvl w:ilvl="0">
      <w:start w:val="1"/>
      <w:numFmt w:val="decimal"/>
      <w:lvlText w:val="%1."/>
      <w:lvlJc w:val="left"/>
      <w:pPr>
        <w:ind w:left="1061" w:hanging="720"/>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341" w:hanging="570"/>
      </w:pPr>
      <w:rPr>
        <w:rFonts w:hint="default"/>
        <w:w w:val="100"/>
        <w:lang w:val="pt-PT" w:eastAsia="en-US" w:bidi="ar-SA"/>
      </w:rPr>
    </w:lvl>
    <w:lvl w:ilvl="2">
      <w:start w:val="1"/>
      <w:numFmt w:val="decimal"/>
      <w:lvlText w:val="%1.%2.%3."/>
      <w:lvlJc w:val="left"/>
      <w:pPr>
        <w:ind w:left="1061" w:hanging="570"/>
      </w:pPr>
      <w:rPr>
        <w:rFonts w:hint="default"/>
        <w:w w:val="100"/>
        <w:lang w:val="pt-PT" w:eastAsia="en-US" w:bidi="ar-SA"/>
      </w:rPr>
    </w:lvl>
    <w:lvl w:ilvl="3">
      <w:start w:val="1"/>
      <w:numFmt w:val="decimal"/>
      <w:lvlText w:val="%1.%2.%3.%4."/>
      <w:lvlJc w:val="left"/>
      <w:pPr>
        <w:ind w:left="341" w:hanging="570"/>
      </w:pPr>
      <w:rPr>
        <w:rFonts w:hint="default"/>
        <w:w w:val="100"/>
        <w:lang w:val="pt-PT" w:eastAsia="en-US" w:bidi="ar-SA"/>
      </w:rPr>
    </w:lvl>
    <w:lvl w:ilvl="4">
      <w:numFmt w:val="bullet"/>
      <w:lvlText w:val="•"/>
      <w:lvlJc w:val="left"/>
      <w:pPr>
        <w:ind w:left="2354" w:hanging="570"/>
      </w:pPr>
      <w:rPr>
        <w:rFonts w:hint="default"/>
        <w:lang w:val="pt-PT" w:eastAsia="en-US" w:bidi="ar-SA"/>
      </w:rPr>
    </w:lvl>
    <w:lvl w:ilvl="5">
      <w:numFmt w:val="bullet"/>
      <w:lvlText w:val="•"/>
      <w:lvlJc w:val="left"/>
      <w:pPr>
        <w:ind w:left="3648" w:hanging="570"/>
      </w:pPr>
      <w:rPr>
        <w:rFonts w:hint="default"/>
        <w:lang w:val="pt-PT" w:eastAsia="en-US" w:bidi="ar-SA"/>
      </w:rPr>
    </w:lvl>
    <w:lvl w:ilvl="6">
      <w:numFmt w:val="bullet"/>
      <w:lvlText w:val="•"/>
      <w:lvlJc w:val="left"/>
      <w:pPr>
        <w:ind w:left="4942" w:hanging="570"/>
      </w:pPr>
      <w:rPr>
        <w:rFonts w:hint="default"/>
        <w:lang w:val="pt-PT" w:eastAsia="en-US" w:bidi="ar-SA"/>
      </w:rPr>
    </w:lvl>
    <w:lvl w:ilvl="7">
      <w:numFmt w:val="bullet"/>
      <w:lvlText w:val="•"/>
      <w:lvlJc w:val="left"/>
      <w:pPr>
        <w:ind w:left="6237" w:hanging="570"/>
      </w:pPr>
      <w:rPr>
        <w:rFonts w:hint="default"/>
        <w:lang w:val="pt-PT" w:eastAsia="en-US" w:bidi="ar-SA"/>
      </w:rPr>
    </w:lvl>
    <w:lvl w:ilvl="8">
      <w:numFmt w:val="bullet"/>
      <w:lvlText w:val="•"/>
      <w:lvlJc w:val="left"/>
      <w:pPr>
        <w:ind w:left="7531" w:hanging="570"/>
      </w:pPr>
      <w:rPr>
        <w:rFonts w:hint="default"/>
        <w:lang w:val="pt-PT" w:eastAsia="en-US" w:bidi="ar-SA"/>
      </w:rPr>
    </w:lvl>
  </w:abstractNum>
  <w:num w:numId="1">
    <w:abstractNumId w:val="0"/>
  </w:num>
  <w:num w:numId="2">
    <w:abstractNumId w:val="21"/>
  </w:num>
  <w:num w:numId="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1"/>
  </w:num>
  <w:num w:numId="9">
    <w:abstractNumId w:val="21"/>
  </w:num>
  <w:num w:numId="10">
    <w:abstractNumId w:val="17"/>
  </w:num>
  <w:num w:numId="11">
    <w:abstractNumId w:val="18"/>
  </w:num>
  <w:num w:numId="12">
    <w:abstractNumId w:val="24"/>
  </w:num>
  <w:num w:numId="13">
    <w:abstractNumId w:val="15"/>
  </w:num>
  <w:num w:numId="14">
    <w:abstractNumId w:val="27"/>
  </w:num>
  <w:num w:numId="15">
    <w:abstractNumId w:val="3"/>
  </w:num>
  <w:num w:numId="16">
    <w:abstractNumId w:val="11"/>
  </w:num>
  <w:num w:numId="17">
    <w:abstractNumId w:val="7"/>
  </w:num>
  <w:num w:numId="18">
    <w:abstractNumId w:val="25"/>
  </w:num>
  <w:num w:numId="19">
    <w:abstractNumId w:val="6"/>
  </w:num>
  <w:num w:numId="20">
    <w:abstractNumId w:val="9"/>
  </w:num>
  <w:num w:numId="21">
    <w:abstractNumId w:val="22"/>
  </w:num>
  <w:num w:numId="22">
    <w:abstractNumId w:val="19"/>
  </w:num>
  <w:num w:numId="23">
    <w:abstractNumId w:val="5"/>
  </w:num>
  <w:num w:numId="24">
    <w:abstractNumId w:val="20"/>
  </w:num>
  <w:num w:numId="25">
    <w:abstractNumId w:val="16"/>
  </w:num>
  <w:num w:numId="26">
    <w:abstractNumId w:val="8"/>
  </w:num>
  <w:num w:numId="27">
    <w:abstractNumId w:val="10"/>
  </w:num>
  <w:num w:numId="28">
    <w:abstractNumId w:val="1"/>
  </w:num>
  <w:num w:numId="29">
    <w:abstractNumId w:val="1"/>
  </w:num>
  <w:num w:numId="30">
    <w:abstractNumId w:val="12"/>
  </w:num>
  <w:num w:numId="31">
    <w:abstractNumId w:val="26"/>
  </w:num>
  <w:num w:numId="32">
    <w:abstractNumId w:val="23"/>
  </w:num>
  <w:num w:numId="33">
    <w:abstractNumId w:val="14"/>
  </w:num>
  <w:num w:numId="34">
    <w:abstractNumId w:val="4"/>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56B"/>
    <w:rsid w:val="00010323"/>
    <w:rsid w:val="00016803"/>
    <w:rsid w:val="000168E3"/>
    <w:rsid w:val="00043FA7"/>
    <w:rsid w:val="00055A35"/>
    <w:rsid w:val="00060815"/>
    <w:rsid w:val="00064A3F"/>
    <w:rsid w:val="000659B7"/>
    <w:rsid w:val="00092735"/>
    <w:rsid w:val="00097D7B"/>
    <w:rsid w:val="000A1F45"/>
    <w:rsid w:val="000B23ED"/>
    <w:rsid w:val="000C2889"/>
    <w:rsid w:val="000D3406"/>
    <w:rsid w:val="000D6176"/>
    <w:rsid w:val="000E3AFE"/>
    <w:rsid w:val="000E4CF2"/>
    <w:rsid w:val="000E6000"/>
    <w:rsid w:val="000E6DAE"/>
    <w:rsid w:val="000F0F17"/>
    <w:rsid w:val="000F2826"/>
    <w:rsid w:val="00100FEB"/>
    <w:rsid w:val="0010179C"/>
    <w:rsid w:val="00102A53"/>
    <w:rsid w:val="001079D7"/>
    <w:rsid w:val="00123565"/>
    <w:rsid w:val="001272CC"/>
    <w:rsid w:val="00130DCF"/>
    <w:rsid w:val="00140E94"/>
    <w:rsid w:val="001514DC"/>
    <w:rsid w:val="00165D70"/>
    <w:rsid w:val="00185DBF"/>
    <w:rsid w:val="00193060"/>
    <w:rsid w:val="001A0D41"/>
    <w:rsid w:val="001A55B6"/>
    <w:rsid w:val="001B5037"/>
    <w:rsid w:val="001D1890"/>
    <w:rsid w:val="001D32DF"/>
    <w:rsid w:val="001D4AC3"/>
    <w:rsid w:val="001D697F"/>
    <w:rsid w:val="001E3568"/>
    <w:rsid w:val="001F44F7"/>
    <w:rsid w:val="00204C8A"/>
    <w:rsid w:val="00215B49"/>
    <w:rsid w:val="00227DC7"/>
    <w:rsid w:val="002351F6"/>
    <w:rsid w:val="00243E36"/>
    <w:rsid w:val="002556A7"/>
    <w:rsid w:val="002573CE"/>
    <w:rsid w:val="00257889"/>
    <w:rsid w:val="002663BD"/>
    <w:rsid w:val="00276B5D"/>
    <w:rsid w:val="0028199E"/>
    <w:rsid w:val="002829C2"/>
    <w:rsid w:val="0028504B"/>
    <w:rsid w:val="00293745"/>
    <w:rsid w:val="002A7071"/>
    <w:rsid w:val="002F2CC8"/>
    <w:rsid w:val="002F4066"/>
    <w:rsid w:val="00315F43"/>
    <w:rsid w:val="0032285B"/>
    <w:rsid w:val="00326DB2"/>
    <w:rsid w:val="003370B0"/>
    <w:rsid w:val="00347799"/>
    <w:rsid w:val="00352A59"/>
    <w:rsid w:val="0035743C"/>
    <w:rsid w:val="003578AC"/>
    <w:rsid w:val="00380F2F"/>
    <w:rsid w:val="00385663"/>
    <w:rsid w:val="00390F82"/>
    <w:rsid w:val="00391154"/>
    <w:rsid w:val="003920AB"/>
    <w:rsid w:val="00392DE5"/>
    <w:rsid w:val="0039504F"/>
    <w:rsid w:val="00396B63"/>
    <w:rsid w:val="003A1163"/>
    <w:rsid w:val="003B264D"/>
    <w:rsid w:val="003B2A0D"/>
    <w:rsid w:val="003B4554"/>
    <w:rsid w:val="003B5284"/>
    <w:rsid w:val="003B53CC"/>
    <w:rsid w:val="003C14A5"/>
    <w:rsid w:val="003C15BE"/>
    <w:rsid w:val="003C1DC7"/>
    <w:rsid w:val="003C42AE"/>
    <w:rsid w:val="003E4A77"/>
    <w:rsid w:val="00402ABC"/>
    <w:rsid w:val="00403108"/>
    <w:rsid w:val="0041063D"/>
    <w:rsid w:val="004113C0"/>
    <w:rsid w:val="00413F35"/>
    <w:rsid w:val="00416683"/>
    <w:rsid w:val="00417717"/>
    <w:rsid w:val="00421C45"/>
    <w:rsid w:val="0043028D"/>
    <w:rsid w:val="00430C16"/>
    <w:rsid w:val="00436587"/>
    <w:rsid w:val="004452EE"/>
    <w:rsid w:val="00461F93"/>
    <w:rsid w:val="00466BF6"/>
    <w:rsid w:val="0047582C"/>
    <w:rsid w:val="0048007A"/>
    <w:rsid w:val="00482A09"/>
    <w:rsid w:val="004959AC"/>
    <w:rsid w:val="004A09DC"/>
    <w:rsid w:val="004B58E5"/>
    <w:rsid w:val="004B61AB"/>
    <w:rsid w:val="004D3E0A"/>
    <w:rsid w:val="004E079B"/>
    <w:rsid w:val="004E221E"/>
    <w:rsid w:val="005041CA"/>
    <w:rsid w:val="00507D90"/>
    <w:rsid w:val="005206B9"/>
    <w:rsid w:val="005241B8"/>
    <w:rsid w:val="005258A4"/>
    <w:rsid w:val="005466C3"/>
    <w:rsid w:val="00546D34"/>
    <w:rsid w:val="00563586"/>
    <w:rsid w:val="005A275C"/>
    <w:rsid w:val="005C402B"/>
    <w:rsid w:val="005D7CC0"/>
    <w:rsid w:val="005E2922"/>
    <w:rsid w:val="005E753D"/>
    <w:rsid w:val="005F5E8D"/>
    <w:rsid w:val="005F6177"/>
    <w:rsid w:val="00604469"/>
    <w:rsid w:val="00617943"/>
    <w:rsid w:val="00617E05"/>
    <w:rsid w:val="00620E2E"/>
    <w:rsid w:val="0062482D"/>
    <w:rsid w:val="006306EF"/>
    <w:rsid w:val="00637E49"/>
    <w:rsid w:val="00641674"/>
    <w:rsid w:val="00645026"/>
    <w:rsid w:val="006709DA"/>
    <w:rsid w:val="0067457F"/>
    <w:rsid w:val="00676BC2"/>
    <w:rsid w:val="00691421"/>
    <w:rsid w:val="0069191B"/>
    <w:rsid w:val="006B62AB"/>
    <w:rsid w:val="006C4070"/>
    <w:rsid w:val="006D6562"/>
    <w:rsid w:val="006E5958"/>
    <w:rsid w:val="007168B3"/>
    <w:rsid w:val="007270C7"/>
    <w:rsid w:val="00735ADD"/>
    <w:rsid w:val="0075018C"/>
    <w:rsid w:val="007506FB"/>
    <w:rsid w:val="007604CF"/>
    <w:rsid w:val="00763341"/>
    <w:rsid w:val="00773AA0"/>
    <w:rsid w:val="007767C7"/>
    <w:rsid w:val="00780D55"/>
    <w:rsid w:val="00785D66"/>
    <w:rsid w:val="0079421E"/>
    <w:rsid w:val="007F7B13"/>
    <w:rsid w:val="00801D55"/>
    <w:rsid w:val="00814BB1"/>
    <w:rsid w:val="008311C9"/>
    <w:rsid w:val="00831574"/>
    <w:rsid w:val="00836996"/>
    <w:rsid w:val="00837319"/>
    <w:rsid w:val="008375B8"/>
    <w:rsid w:val="00857EE4"/>
    <w:rsid w:val="00860A90"/>
    <w:rsid w:val="00870B00"/>
    <w:rsid w:val="00872F10"/>
    <w:rsid w:val="008756B2"/>
    <w:rsid w:val="008828B6"/>
    <w:rsid w:val="00884B47"/>
    <w:rsid w:val="00885008"/>
    <w:rsid w:val="0089518A"/>
    <w:rsid w:val="008A046D"/>
    <w:rsid w:val="008A72D1"/>
    <w:rsid w:val="008B1D7C"/>
    <w:rsid w:val="008B38BC"/>
    <w:rsid w:val="008C47CA"/>
    <w:rsid w:val="008C4D64"/>
    <w:rsid w:val="008D78EA"/>
    <w:rsid w:val="008E4F62"/>
    <w:rsid w:val="008E65D4"/>
    <w:rsid w:val="008E6D4F"/>
    <w:rsid w:val="009039E8"/>
    <w:rsid w:val="009063BB"/>
    <w:rsid w:val="009162EB"/>
    <w:rsid w:val="0091667E"/>
    <w:rsid w:val="009213D5"/>
    <w:rsid w:val="0093373A"/>
    <w:rsid w:val="009410BC"/>
    <w:rsid w:val="00945157"/>
    <w:rsid w:val="009553C6"/>
    <w:rsid w:val="00957B33"/>
    <w:rsid w:val="00971993"/>
    <w:rsid w:val="00974672"/>
    <w:rsid w:val="00974A4B"/>
    <w:rsid w:val="00975829"/>
    <w:rsid w:val="009877CB"/>
    <w:rsid w:val="009F2F85"/>
    <w:rsid w:val="00A00590"/>
    <w:rsid w:val="00A06D2F"/>
    <w:rsid w:val="00A111BA"/>
    <w:rsid w:val="00A14FF7"/>
    <w:rsid w:val="00A170AE"/>
    <w:rsid w:val="00A229E2"/>
    <w:rsid w:val="00A327A0"/>
    <w:rsid w:val="00A66675"/>
    <w:rsid w:val="00A74974"/>
    <w:rsid w:val="00A75B6C"/>
    <w:rsid w:val="00A87002"/>
    <w:rsid w:val="00A92914"/>
    <w:rsid w:val="00A96E16"/>
    <w:rsid w:val="00AA0CD1"/>
    <w:rsid w:val="00AC2688"/>
    <w:rsid w:val="00AC69AD"/>
    <w:rsid w:val="00AD022C"/>
    <w:rsid w:val="00AE4E00"/>
    <w:rsid w:val="00AE7153"/>
    <w:rsid w:val="00AF4EE0"/>
    <w:rsid w:val="00AF5CD9"/>
    <w:rsid w:val="00AF5DD4"/>
    <w:rsid w:val="00AF6B88"/>
    <w:rsid w:val="00B02294"/>
    <w:rsid w:val="00B03288"/>
    <w:rsid w:val="00B061E6"/>
    <w:rsid w:val="00B12062"/>
    <w:rsid w:val="00B13DC2"/>
    <w:rsid w:val="00B25D0B"/>
    <w:rsid w:val="00B26F60"/>
    <w:rsid w:val="00B27105"/>
    <w:rsid w:val="00B30CA0"/>
    <w:rsid w:val="00B676BB"/>
    <w:rsid w:val="00B721DC"/>
    <w:rsid w:val="00B7730E"/>
    <w:rsid w:val="00B92016"/>
    <w:rsid w:val="00B923BE"/>
    <w:rsid w:val="00BA1327"/>
    <w:rsid w:val="00BA2AC6"/>
    <w:rsid w:val="00BA68EF"/>
    <w:rsid w:val="00BB36D3"/>
    <w:rsid w:val="00BB3B8F"/>
    <w:rsid w:val="00BB527C"/>
    <w:rsid w:val="00BB61D2"/>
    <w:rsid w:val="00BE3C4E"/>
    <w:rsid w:val="00BE3CE6"/>
    <w:rsid w:val="00BF1266"/>
    <w:rsid w:val="00BF3141"/>
    <w:rsid w:val="00BF6D3A"/>
    <w:rsid w:val="00C11E9C"/>
    <w:rsid w:val="00C12366"/>
    <w:rsid w:val="00C25167"/>
    <w:rsid w:val="00C40FF4"/>
    <w:rsid w:val="00C55376"/>
    <w:rsid w:val="00C55896"/>
    <w:rsid w:val="00C65741"/>
    <w:rsid w:val="00C74C9C"/>
    <w:rsid w:val="00C81401"/>
    <w:rsid w:val="00C81B18"/>
    <w:rsid w:val="00C91A0C"/>
    <w:rsid w:val="00CA5F9F"/>
    <w:rsid w:val="00CB6468"/>
    <w:rsid w:val="00CB7984"/>
    <w:rsid w:val="00CC288A"/>
    <w:rsid w:val="00CC666F"/>
    <w:rsid w:val="00CE1CB6"/>
    <w:rsid w:val="00CF467B"/>
    <w:rsid w:val="00D06A05"/>
    <w:rsid w:val="00D13FC5"/>
    <w:rsid w:val="00D22F45"/>
    <w:rsid w:val="00D249B9"/>
    <w:rsid w:val="00D25ABF"/>
    <w:rsid w:val="00D2776D"/>
    <w:rsid w:val="00D27AFB"/>
    <w:rsid w:val="00D40BD2"/>
    <w:rsid w:val="00D65FF4"/>
    <w:rsid w:val="00D7299B"/>
    <w:rsid w:val="00D73E45"/>
    <w:rsid w:val="00D9158F"/>
    <w:rsid w:val="00D97AF0"/>
    <w:rsid w:val="00DA0D02"/>
    <w:rsid w:val="00DB6EA1"/>
    <w:rsid w:val="00DD641A"/>
    <w:rsid w:val="00DE3D15"/>
    <w:rsid w:val="00E12775"/>
    <w:rsid w:val="00E151D6"/>
    <w:rsid w:val="00E26E61"/>
    <w:rsid w:val="00E27B1B"/>
    <w:rsid w:val="00E30BFB"/>
    <w:rsid w:val="00E40A97"/>
    <w:rsid w:val="00E4547A"/>
    <w:rsid w:val="00E73173"/>
    <w:rsid w:val="00E77501"/>
    <w:rsid w:val="00E87FEF"/>
    <w:rsid w:val="00EA0639"/>
    <w:rsid w:val="00EA2278"/>
    <w:rsid w:val="00EB35BD"/>
    <w:rsid w:val="00EC7959"/>
    <w:rsid w:val="00EE2035"/>
    <w:rsid w:val="00EF6AA9"/>
    <w:rsid w:val="00F30FF9"/>
    <w:rsid w:val="00F336C7"/>
    <w:rsid w:val="00F37352"/>
    <w:rsid w:val="00F40051"/>
    <w:rsid w:val="00F45241"/>
    <w:rsid w:val="00F45FFC"/>
    <w:rsid w:val="00F54BD2"/>
    <w:rsid w:val="00F829FD"/>
    <w:rsid w:val="00FB230B"/>
    <w:rsid w:val="00FD2171"/>
    <w:rsid w:val="00FD6787"/>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styleId="MenoPendente">
    <w:name w:val="Unresolved Mention"/>
    <w:basedOn w:val="Fontepargpadro"/>
    <w:uiPriority w:val="99"/>
    <w:semiHidden/>
    <w:unhideWhenUsed/>
    <w:rsid w:val="00801D55"/>
    <w:rPr>
      <w:color w:val="605E5C"/>
      <w:shd w:val="clear" w:color="auto" w:fill="E1DFDD"/>
    </w:rPr>
  </w:style>
  <w:style w:type="table" w:customStyle="1" w:styleId="TableNormal1">
    <w:name w:val="Table Normal1"/>
    <w:uiPriority w:val="2"/>
    <w:semiHidden/>
    <w:unhideWhenUsed/>
    <w:qFormat/>
    <w:rsid w:val="00140E9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D678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CD54B9-FFA0-4456-B399-6004E49E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10</Pages>
  <Words>3377</Words>
  <Characters>18237</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200</cp:revision>
  <cp:lastPrinted>2021-10-04T13:40:00Z</cp:lastPrinted>
  <dcterms:created xsi:type="dcterms:W3CDTF">2021-07-06T19:42:00Z</dcterms:created>
  <dcterms:modified xsi:type="dcterms:W3CDTF">2023-05-17T13:13:00Z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